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0FAC" w14:textId="25FFDF5C" w:rsidR="00FC118E" w:rsidRDefault="001A45BC" w:rsidP="00FC118E">
      <w:pPr>
        <w:shd w:val="clear" w:color="auto" w:fill="FFFFFF"/>
        <w:spacing w:after="0" w:line="240" w:lineRule="auto"/>
        <w:contextualSpacing/>
        <w:jc w:val="both"/>
        <w:rPr>
          <w:rFonts w:ascii="Calibri" w:eastAsia="Times New Roman" w:hAnsi="Calibri" w:cs="Times New Roman"/>
          <w:b/>
          <w:bCs/>
          <w:caps/>
          <w:noProof/>
          <w:color w:val="C2113A"/>
          <w:sz w:val="28"/>
          <w:szCs w:val="26"/>
        </w:rPr>
      </w:pPr>
      <w:bookmarkStart w:id="0" w:name="_Hlk110514264"/>
      <w:r w:rsidRPr="001A45BC">
        <w:rPr>
          <w:rFonts w:ascii="Calibri" w:eastAsia="Times New Roman" w:hAnsi="Calibri" w:cs="Times New Roman"/>
          <w:b/>
          <w:bCs/>
          <w:caps/>
          <w:noProof/>
          <w:color w:val="C2113A"/>
          <w:sz w:val="28"/>
          <w:szCs w:val="26"/>
        </w:rPr>
        <w:t>Gas EU Regulation Advisor</w:t>
      </w:r>
    </w:p>
    <w:p w14:paraId="02D8F40C" w14:textId="77777777" w:rsidR="001A45BC" w:rsidRPr="00FC118E" w:rsidRDefault="001A45BC" w:rsidP="00FC118E">
      <w:pPr>
        <w:shd w:val="clear" w:color="auto" w:fill="FFFFFF"/>
        <w:spacing w:after="0" w:line="240" w:lineRule="auto"/>
        <w:contextualSpacing/>
        <w:jc w:val="both"/>
        <w:rPr>
          <w:rFonts w:ascii="Calibri" w:eastAsia="Times New Roman" w:hAnsi="Calibri" w:cs="Times New Roman"/>
          <w:b/>
          <w:bCs/>
          <w:color w:val="000000"/>
        </w:rPr>
      </w:pPr>
    </w:p>
    <w:p w14:paraId="4BE90769" w14:textId="77777777" w:rsidR="00FC118E" w:rsidRPr="00FC118E" w:rsidRDefault="00FC118E" w:rsidP="00FC118E">
      <w:pPr>
        <w:shd w:val="clear" w:color="auto" w:fill="FFFFFF"/>
        <w:spacing w:after="0" w:line="240" w:lineRule="auto"/>
        <w:contextualSpacing/>
        <w:jc w:val="both"/>
        <w:rPr>
          <w:rFonts w:eastAsia="Times New Roman" w:cs="Times New Roman"/>
          <w:b/>
          <w:bCs/>
          <w:color w:val="000000"/>
        </w:rPr>
      </w:pPr>
      <w:r w:rsidRPr="00FC118E">
        <w:rPr>
          <w:rFonts w:eastAsia="Times New Roman" w:cs="Times New Roman"/>
          <w:b/>
          <w:bCs/>
          <w:color w:val="000000"/>
        </w:rPr>
        <w:t>Project Summary</w:t>
      </w:r>
    </w:p>
    <w:bookmarkEnd w:id="0"/>
    <w:p w14:paraId="45CE1D63" w14:textId="77777777" w:rsidR="00FC118E" w:rsidRPr="00FC118E" w:rsidRDefault="00FC118E" w:rsidP="00FC118E">
      <w:pPr>
        <w:shd w:val="clear" w:color="auto" w:fill="FFFFFF"/>
        <w:spacing w:after="0" w:line="240" w:lineRule="auto"/>
        <w:contextualSpacing/>
        <w:jc w:val="both"/>
        <w:rPr>
          <w:rFonts w:ascii="Calibri" w:eastAsia="Times New Roman" w:hAnsi="Calibri" w:cs="Times New Roman"/>
          <w:color w:val="000000"/>
        </w:rPr>
      </w:pPr>
    </w:p>
    <w:p w14:paraId="0F4A3B6E" w14:textId="77777777" w:rsidR="00FC118E" w:rsidRPr="00FC118E" w:rsidRDefault="00FC118E" w:rsidP="00FC118E">
      <w:pPr>
        <w:spacing w:after="0" w:line="240" w:lineRule="auto"/>
        <w:jc w:val="both"/>
        <w:rPr>
          <w:rFonts w:eastAsia="Times New Roman" w:cs="Calibri"/>
          <w:color w:val="000000"/>
        </w:rPr>
      </w:pPr>
      <w:r w:rsidRPr="00FC118E">
        <w:rPr>
          <w:rFonts w:eastAsia="Times New Roman" w:cs="Calibri"/>
          <w:color w:val="000000"/>
        </w:rPr>
        <w:t>The Energy Security Project (ESP) is a seven-year project funded by the United States Agency for International Development (USAID) and the largest USAID project in Ukraine so far. The USAID ESP is implemented by a USAID Contractor, Tetra Tech ES, Inc., a California-based leading provider of services in the areas of water, environment, infrastructure, resource management, energy, and international development.</w:t>
      </w:r>
    </w:p>
    <w:p w14:paraId="2DD6A3FC" w14:textId="77777777" w:rsidR="00FC118E" w:rsidRPr="00FC118E" w:rsidRDefault="00FC118E" w:rsidP="00FC118E">
      <w:pPr>
        <w:spacing w:after="0" w:line="240" w:lineRule="auto"/>
        <w:jc w:val="both"/>
        <w:rPr>
          <w:rFonts w:eastAsia="Times New Roman" w:cs="Calibri"/>
          <w:color w:val="000000"/>
        </w:rPr>
      </w:pPr>
    </w:p>
    <w:p w14:paraId="1E5DB6CB" w14:textId="77777777" w:rsidR="00FC118E" w:rsidRPr="00FC118E" w:rsidRDefault="00FC118E" w:rsidP="00FC118E">
      <w:pPr>
        <w:spacing w:after="0" w:line="240" w:lineRule="auto"/>
        <w:jc w:val="both"/>
        <w:rPr>
          <w:rFonts w:eastAsia="Times New Roman" w:cs="Calibri"/>
          <w:color w:val="000000"/>
        </w:rPr>
      </w:pPr>
      <w:r w:rsidRPr="00FC118E">
        <w:rPr>
          <w:rFonts w:eastAsia="Times New Roman" w:cs="Calibri"/>
          <w:color w:val="000000"/>
        </w:rPr>
        <w:t>The USAID ESP mission is to enhance Ukraine’s energy security, improve the energy legal and regulatory environment in the country, and increase the resilience of Ukraine’s energy supply. This will help to support the country’s economic development and sustain its democracy. USAID ESP is working closely with the Government of Ukraine (GOU) to develop competitive energy markets. By doing so, USAID ESP will facilitate private sector-led energy investments to provide affordable, reliable, resilient, and secure energy for all Ukrainians. USAID ESP is currently in the fifth year of implementation and will run through June 2025.</w:t>
      </w:r>
    </w:p>
    <w:p w14:paraId="0C3A3EB9" w14:textId="77777777" w:rsidR="00FC118E" w:rsidRPr="00FC118E" w:rsidRDefault="00FC118E" w:rsidP="00FC118E">
      <w:pPr>
        <w:spacing w:after="0" w:line="240" w:lineRule="auto"/>
        <w:jc w:val="both"/>
        <w:rPr>
          <w:rFonts w:eastAsia="Times New Roman" w:cs="Calibri"/>
          <w:color w:val="000000"/>
        </w:rPr>
      </w:pPr>
    </w:p>
    <w:p w14:paraId="56C8F971" w14:textId="77777777" w:rsidR="00FC118E" w:rsidRPr="00FC118E" w:rsidRDefault="00FC118E" w:rsidP="00FC118E">
      <w:pPr>
        <w:spacing w:after="0" w:line="240" w:lineRule="auto"/>
        <w:jc w:val="both"/>
        <w:rPr>
          <w:rFonts w:eastAsia="Times New Roman" w:cs="Calibri"/>
          <w:color w:val="000000"/>
        </w:rPr>
      </w:pPr>
    </w:p>
    <w:p w14:paraId="31F7B8FB" w14:textId="77777777" w:rsidR="00FC118E" w:rsidRPr="00FC118E" w:rsidRDefault="00FC118E" w:rsidP="00FC118E">
      <w:pPr>
        <w:spacing w:after="0" w:line="240" w:lineRule="auto"/>
        <w:jc w:val="center"/>
        <w:textAlignment w:val="baseline"/>
        <w:rPr>
          <w:rFonts w:ascii="Arial" w:eastAsia="Cambria" w:hAnsi="Arial" w:cs="Arial"/>
          <w:b/>
          <w:color w:val="000000"/>
          <w:sz w:val="20"/>
          <w:szCs w:val="20"/>
        </w:rPr>
      </w:pPr>
      <w:r w:rsidRPr="00FC118E">
        <w:rPr>
          <w:rFonts w:eastAsia="Times New Roman" w:cs="Times New Roman"/>
          <w:b/>
          <w:bCs/>
          <w:color w:val="000000"/>
        </w:rPr>
        <w:t>* The position is pending USAID’s approval. *</w:t>
      </w:r>
    </w:p>
    <w:p w14:paraId="078035C7" w14:textId="77777777" w:rsidR="00FC118E" w:rsidRPr="00FC118E" w:rsidRDefault="00FC118E" w:rsidP="00FC118E">
      <w:pPr>
        <w:spacing w:after="0" w:line="240" w:lineRule="auto"/>
        <w:textAlignment w:val="baseline"/>
        <w:rPr>
          <w:rFonts w:ascii="Arial" w:eastAsia="Cambria" w:hAnsi="Arial" w:cs="Arial"/>
          <w:b/>
          <w:color w:val="000000"/>
          <w:sz w:val="20"/>
          <w:szCs w:val="20"/>
        </w:rPr>
      </w:pPr>
    </w:p>
    <w:p w14:paraId="19E4B93F" w14:textId="77777777" w:rsidR="00FC118E" w:rsidRPr="00FC118E" w:rsidRDefault="00FC118E" w:rsidP="00FC118E">
      <w:pPr>
        <w:spacing w:after="0" w:line="240" w:lineRule="auto"/>
        <w:textAlignment w:val="baseline"/>
        <w:rPr>
          <w:rFonts w:ascii="Arial" w:eastAsia="Cambria" w:hAnsi="Arial" w:cs="Arial"/>
          <w:b/>
          <w:color w:val="000000"/>
          <w:sz w:val="20"/>
          <w:szCs w:val="20"/>
        </w:rPr>
      </w:pPr>
    </w:p>
    <w:p w14:paraId="76A37216" w14:textId="77777777" w:rsidR="00FC118E" w:rsidRPr="00FC118E" w:rsidRDefault="00FC118E" w:rsidP="00FC118E">
      <w:pPr>
        <w:shd w:val="clear" w:color="auto" w:fill="FFFFFF"/>
        <w:spacing w:after="0" w:line="240" w:lineRule="auto"/>
        <w:contextualSpacing/>
        <w:jc w:val="both"/>
        <w:rPr>
          <w:rFonts w:eastAsia="Times New Roman" w:cs="Times New Roman"/>
          <w:b/>
          <w:bCs/>
          <w:color w:val="000000"/>
        </w:rPr>
      </w:pPr>
      <w:r w:rsidRPr="00FC118E">
        <w:rPr>
          <w:rFonts w:eastAsia="Times New Roman" w:cs="Times New Roman"/>
          <w:b/>
          <w:bCs/>
          <w:color w:val="000000"/>
        </w:rPr>
        <w:t>Position Summary</w:t>
      </w:r>
    </w:p>
    <w:p w14:paraId="775CABC7" w14:textId="77777777" w:rsidR="00FC118E" w:rsidRPr="00FC118E" w:rsidRDefault="00FC118E" w:rsidP="00FC118E">
      <w:pPr>
        <w:shd w:val="clear" w:color="auto" w:fill="FFFFFF"/>
        <w:spacing w:after="0" w:line="240" w:lineRule="auto"/>
        <w:contextualSpacing/>
        <w:jc w:val="both"/>
        <w:rPr>
          <w:rFonts w:eastAsia="Times New Roman" w:cs="Times New Roman"/>
          <w:color w:val="000000"/>
        </w:rPr>
      </w:pPr>
    </w:p>
    <w:p w14:paraId="0D90DC7D" w14:textId="4E3A8874" w:rsidR="001A45BC" w:rsidRPr="001A45BC" w:rsidRDefault="008B1DC8" w:rsidP="001A45BC">
      <w:pPr>
        <w:jc w:val="both"/>
        <w:rPr>
          <w:rFonts w:eastAsia="Calibri" w:cs="Times New Roman"/>
          <w:color w:val="000000"/>
        </w:rPr>
      </w:pPr>
      <w:r w:rsidRPr="008B1DC8">
        <w:rPr>
          <w:rFonts w:eastAsia="Calibri" w:cs="Times New Roman"/>
          <w:color w:val="000000"/>
        </w:rPr>
        <w:t>USAID ESP is looking for a</w:t>
      </w:r>
      <w:r w:rsidR="001A45BC">
        <w:rPr>
          <w:rFonts w:eastAsia="Calibri" w:cs="Times New Roman"/>
          <w:color w:val="000000"/>
        </w:rPr>
        <w:t xml:space="preserve"> </w:t>
      </w:r>
      <w:r w:rsidR="001A45BC" w:rsidRPr="001A45BC">
        <w:rPr>
          <w:rFonts w:eastAsia="Calibri" w:cs="Times New Roman"/>
          <w:color w:val="000000"/>
        </w:rPr>
        <w:t>highly skilled and experienced international</w:t>
      </w:r>
      <w:r w:rsidR="001A45BC">
        <w:rPr>
          <w:rFonts w:eastAsia="Calibri" w:cs="Times New Roman"/>
          <w:color w:val="000000"/>
        </w:rPr>
        <w:t xml:space="preserve"> expert to fill in a</w:t>
      </w:r>
      <w:r w:rsidRPr="008B1DC8">
        <w:rPr>
          <w:rFonts w:eastAsia="Calibri" w:cs="Times New Roman"/>
          <w:color w:val="000000"/>
        </w:rPr>
        <w:t xml:space="preserve"> </w:t>
      </w:r>
      <w:bookmarkStart w:id="1" w:name="_Hlk141180372"/>
      <w:r w:rsidR="001A45BC" w:rsidRPr="001A45BC">
        <w:rPr>
          <w:rFonts w:eastAsia="Calibri" w:cs="Times New Roman"/>
          <w:color w:val="000000"/>
        </w:rPr>
        <w:t>Gas EU Regulation Advisor</w:t>
      </w:r>
      <w:r w:rsidR="001A45BC">
        <w:rPr>
          <w:rFonts w:eastAsia="Calibri" w:cs="Times New Roman"/>
          <w:color w:val="000000"/>
        </w:rPr>
        <w:t xml:space="preserve"> </w:t>
      </w:r>
      <w:bookmarkEnd w:id="1"/>
      <w:r w:rsidR="001A45BC">
        <w:rPr>
          <w:rFonts w:eastAsia="Calibri" w:cs="Times New Roman"/>
          <w:color w:val="000000"/>
        </w:rPr>
        <w:t>position</w:t>
      </w:r>
      <w:r w:rsidR="001A45BC" w:rsidRPr="001A45BC">
        <w:rPr>
          <w:rFonts w:eastAsia="Calibri" w:cs="Times New Roman"/>
          <w:color w:val="000000"/>
        </w:rPr>
        <w:t xml:space="preserve">. We are seeking </w:t>
      </w:r>
      <w:r w:rsidR="001A45BC">
        <w:rPr>
          <w:rFonts w:eastAsia="Calibri" w:cs="Times New Roman"/>
          <w:color w:val="000000"/>
        </w:rPr>
        <w:t xml:space="preserve">an </w:t>
      </w:r>
      <w:r w:rsidR="001A45BC" w:rsidRPr="001A45BC">
        <w:rPr>
          <w:rFonts w:eastAsia="Calibri" w:cs="Times New Roman"/>
          <w:color w:val="000000"/>
        </w:rPr>
        <w:t xml:space="preserve">expert with a deep knowledge of EU gas market acquis – i.e., the regulations, directives, and network codes – to join our project. </w:t>
      </w:r>
      <w:r w:rsidR="001A45BC">
        <w:rPr>
          <w:rFonts w:eastAsia="Calibri" w:cs="Times New Roman"/>
          <w:color w:val="000000"/>
        </w:rPr>
        <w:t xml:space="preserve">The successful candidate will </w:t>
      </w:r>
      <w:r w:rsidR="001A45BC" w:rsidRPr="001A45BC">
        <w:rPr>
          <w:rFonts w:eastAsia="Calibri" w:cs="Times New Roman"/>
          <w:color w:val="000000"/>
        </w:rPr>
        <w:t>be required to provide expert guidance and advice on the implementation of EU gas acquis</w:t>
      </w:r>
      <w:r w:rsidR="001A45BC">
        <w:rPr>
          <w:rFonts w:eastAsia="Calibri" w:cs="Times New Roman"/>
          <w:color w:val="000000"/>
        </w:rPr>
        <w:t>,</w:t>
      </w:r>
      <w:r w:rsidR="001A45BC" w:rsidRPr="001A45BC">
        <w:rPr>
          <w:rFonts w:eastAsia="Calibri" w:cs="Times New Roman"/>
          <w:color w:val="000000"/>
        </w:rPr>
        <w:t xml:space="preserve"> how it may be adapted and implemented within Ukraine's gas sector. Leveraging </w:t>
      </w:r>
      <w:r w:rsidR="001A45BC">
        <w:rPr>
          <w:rFonts w:eastAsia="Calibri" w:cs="Times New Roman"/>
          <w:color w:val="000000"/>
        </w:rPr>
        <w:t>the</w:t>
      </w:r>
      <w:r w:rsidR="001A45BC" w:rsidRPr="001A45BC">
        <w:rPr>
          <w:rFonts w:eastAsia="Calibri" w:cs="Times New Roman"/>
          <w:color w:val="000000"/>
        </w:rPr>
        <w:t xml:space="preserve"> extensive knowledge of the European gas regulatory landscape, </w:t>
      </w:r>
      <w:r w:rsidR="001A45BC">
        <w:rPr>
          <w:rFonts w:eastAsia="Calibri" w:cs="Times New Roman"/>
          <w:color w:val="000000"/>
        </w:rPr>
        <w:t>the Advisor will</w:t>
      </w:r>
      <w:r w:rsidR="001A45BC" w:rsidRPr="001A45BC">
        <w:rPr>
          <w:rFonts w:eastAsia="Calibri" w:cs="Times New Roman"/>
          <w:color w:val="000000"/>
        </w:rPr>
        <w:t xml:space="preserve"> play a pivotal role in supporting the project's efforts to enhance energy security, promote transparency, and facilitate a well-functioning gas sector as Ukraine seeks to rebuild its market and strengthen EU integration.</w:t>
      </w:r>
    </w:p>
    <w:p w14:paraId="3936DFD0" w14:textId="496619F1" w:rsidR="00FC118E" w:rsidRPr="00FC118E" w:rsidRDefault="00FC118E" w:rsidP="00FC118E">
      <w:pPr>
        <w:spacing w:after="0" w:line="240" w:lineRule="auto"/>
        <w:contextualSpacing/>
        <w:jc w:val="both"/>
        <w:rPr>
          <w:rFonts w:eastAsia="Calibri" w:cs="Times New Roman"/>
          <w:color w:val="000000"/>
        </w:rPr>
      </w:pPr>
      <w:r w:rsidRPr="00FC118E">
        <w:rPr>
          <w:rFonts w:eastAsia="Calibri" w:cs="Times New Roman"/>
          <w:color w:val="000000"/>
        </w:rPr>
        <w:t xml:space="preserve">This is a </w:t>
      </w:r>
      <w:r w:rsidR="008B1DC8">
        <w:rPr>
          <w:rFonts w:eastAsia="Calibri" w:cs="Times New Roman"/>
          <w:color w:val="000000"/>
        </w:rPr>
        <w:t xml:space="preserve">short-term </w:t>
      </w:r>
      <w:r w:rsidR="001A45BC">
        <w:rPr>
          <w:rFonts w:eastAsia="Calibri" w:cs="Times New Roman"/>
          <w:color w:val="000000"/>
        </w:rPr>
        <w:t>consultancy</w:t>
      </w:r>
      <w:r w:rsidRPr="00FC118E">
        <w:rPr>
          <w:rFonts w:eastAsia="Calibri" w:cs="Times New Roman"/>
          <w:color w:val="000000"/>
        </w:rPr>
        <w:t xml:space="preserve"> position for the period of 1 year </w:t>
      </w:r>
      <w:r w:rsidR="001A45BC" w:rsidRPr="001A45BC">
        <w:rPr>
          <w:rFonts w:eastAsia="Calibri" w:cs="Times New Roman"/>
          <w:color w:val="000000"/>
        </w:rPr>
        <w:t>with possible occasional travel to Kyiv, Ukraine or Bratislava, Slovakia to deliver specific outcomes (not more than twice in one year).</w:t>
      </w:r>
      <w:r w:rsidR="001A45BC">
        <w:rPr>
          <w:rFonts w:eastAsia="Calibri" w:cs="Times New Roman"/>
          <w:color w:val="000000"/>
        </w:rPr>
        <w:t xml:space="preserve"> The approximate commitment is </w:t>
      </w:r>
      <w:r w:rsidR="001A45BC" w:rsidRPr="00FC118E">
        <w:rPr>
          <w:rFonts w:eastAsia="Calibri" w:cs="Times New Roman"/>
          <w:color w:val="000000"/>
        </w:rPr>
        <w:t>4</w:t>
      </w:r>
      <w:r w:rsidR="001A45BC">
        <w:rPr>
          <w:rFonts w:eastAsia="Calibri" w:cs="Times New Roman"/>
          <w:color w:val="000000"/>
        </w:rPr>
        <w:t xml:space="preserve"> hours per day. </w:t>
      </w:r>
      <w:r w:rsidRPr="00FC118E">
        <w:rPr>
          <w:rFonts w:eastAsia="Calibri" w:cs="Times New Roman"/>
          <w:color w:val="000000"/>
        </w:rPr>
        <w:t xml:space="preserve">The position will be reporting to ESP’s </w:t>
      </w:r>
      <w:r w:rsidR="001A45BC">
        <w:rPr>
          <w:rFonts w:eastAsia="Calibri" w:cs="Times New Roman"/>
          <w:color w:val="000000"/>
        </w:rPr>
        <w:t>Gas Sector</w:t>
      </w:r>
      <w:r w:rsidRPr="00FC118E">
        <w:rPr>
          <w:rFonts w:eastAsia="Calibri" w:cs="Times New Roman"/>
          <w:color w:val="000000"/>
        </w:rPr>
        <w:t xml:space="preserve"> Lead.</w:t>
      </w:r>
      <w:r w:rsidR="008B1DC8">
        <w:rPr>
          <w:rFonts w:eastAsia="Calibri" w:cs="Times New Roman"/>
          <w:color w:val="000000"/>
        </w:rPr>
        <w:t xml:space="preserve"> </w:t>
      </w:r>
    </w:p>
    <w:p w14:paraId="09350568" w14:textId="77777777" w:rsidR="00FC118E" w:rsidRPr="00FC118E" w:rsidRDefault="00FC118E" w:rsidP="00FC118E">
      <w:pPr>
        <w:spacing w:after="0" w:line="240" w:lineRule="auto"/>
        <w:contextualSpacing/>
        <w:jc w:val="both"/>
        <w:rPr>
          <w:rFonts w:eastAsia="Calibri" w:cs="Times New Roman"/>
          <w:color w:val="000000"/>
        </w:rPr>
      </w:pPr>
    </w:p>
    <w:p w14:paraId="521D2E43" w14:textId="77777777" w:rsidR="00FC118E" w:rsidRPr="00FC118E" w:rsidRDefault="00FC118E" w:rsidP="00FC118E">
      <w:pPr>
        <w:spacing w:after="0" w:line="240" w:lineRule="auto"/>
        <w:contextualSpacing/>
        <w:jc w:val="both"/>
        <w:rPr>
          <w:rFonts w:ascii="Calibri" w:eastAsia="Calibri" w:hAnsi="Calibri" w:cs="Times New Roman"/>
          <w:b/>
          <w:color w:val="000000"/>
        </w:rPr>
      </w:pPr>
    </w:p>
    <w:p w14:paraId="4484A51E" w14:textId="5975AAD2" w:rsidR="00FC118E" w:rsidRPr="00FC118E" w:rsidRDefault="00FC118E" w:rsidP="00FC118E">
      <w:pPr>
        <w:spacing w:after="0" w:line="240" w:lineRule="auto"/>
        <w:contextualSpacing/>
        <w:rPr>
          <w:rFonts w:eastAsia="Calibri" w:cs="Times New Roman"/>
          <w:b/>
          <w:color w:val="000000"/>
        </w:rPr>
      </w:pPr>
      <w:r w:rsidRPr="00FC118E">
        <w:rPr>
          <w:rFonts w:eastAsia="Calibri" w:cs="Times New Roman"/>
          <w:b/>
          <w:color w:val="000000"/>
        </w:rPr>
        <w:t>Responsibilities</w:t>
      </w:r>
    </w:p>
    <w:p w14:paraId="2FBF5581" w14:textId="77777777" w:rsidR="00FC118E" w:rsidRPr="00FC118E" w:rsidRDefault="00FC118E" w:rsidP="00FC118E">
      <w:pPr>
        <w:spacing w:after="0" w:line="240" w:lineRule="auto"/>
        <w:textAlignment w:val="baseline"/>
        <w:rPr>
          <w:rFonts w:ascii="Arial" w:eastAsia="Cambria" w:hAnsi="Arial" w:cs="Arial"/>
          <w:b/>
          <w:color w:val="000000"/>
          <w:sz w:val="20"/>
          <w:szCs w:val="20"/>
        </w:rPr>
      </w:pPr>
    </w:p>
    <w:p w14:paraId="201680DC" w14:textId="1528572A"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Regulatory Expertise: Serve as the project's key expert on EU gas market acquis – the regulations, directives and network codes, including balancing, capacity allocation, tariffs, security of supply, unbundling and governance. Provide insights into best practices and lessons learned from EU implementation of the ‘third package’ to inform the development of regulatory frameworks in Ukraine</w:t>
      </w:r>
      <w:r>
        <w:rPr>
          <w:rFonts w:ascii="Gill Sans MT" w:eastAsia="Cambria" w:hAnsi="Gill Sans MT" w:cs="Arial"/>
          <w:bCs/>
          <w:color w:val="000000"/>
          <w:sz w:val="22"/>
        </w:rPr>
        <w:t>;</w:t>
      </w:r>
    </w:p>
    <w:p w14:paraId="1A5A2A34" w14:textId="05DED1E6"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 xml:space="preserve">Implementation Strategies: Develop tailored strategies for implementing specific aspects of the EU gas market acquis within Ukraine's gas sector. Identify potential challenges and </w:t>
      </w:r>
      <w:r w:rsidRPr="001A45BC">
        <w:rPr>
          <w:rFonts w:ascii="Gill Sans MT" w:eastAsia="Cambria" w:hAnsi="Gill Sans MT" w:cs="Arial"/>
          <w:bCs/>
          <w:color w:val="000000"/>
          <w:sz w:val="22"/>
        </w:rPr>
        <w:lastRenderedPageBreak/>
        <w:t xml:space="preserve">opportunities and offer solutions to address them effectively. This will be done in close cooperation with ESP’s Ukrainian experts and key stakeholders such as Ministry of Energy, the Energy Regulator, </w:t>
      </w:r>
      <w:proofErr w:type="spellStart"/>
      <w:r w:rsidRPr="001A45BC">
        <w:rPr>
          <w:rFonts w:ascii="Gill Sans MT" w:eastAsia="Cambria" w:hAnsi="Gill Sans MT" w:cs="Arial"/>
          <w:bCs/>
          <w:color w:val="000000"/>
          <w:sz w:val="22"/>
        </w:rPr>
        <w:t>Naftogaz</w:t>
      </w:r>
      <w:proofErr w:type="spellEnd"/>
      <w:r w:rsidRPr="001A45BC">
        <w:rPr>
          <w:rFonts w:ascii="Gill Sans MT" w:eastAsia="Cambria" w:hAnsi="Gill Sans MT" w:cs="Arial"/>
          <w:bCs/>
          <w:color w:val="000000"/>
          <w:sz w:val="22"/>
        </w:rPr>
        <w:t xml:space="preserve"> and the Gas TSO of Ukraine</w:t>
      </w:r>
      <w:r w:rsidR="003E304A">
        <w:rPr>
          <w:rFonts w:ascii="Gill Sans MT" w:eastAsia="Cambria" w:hAnsi="Gill Sans MT" w:cs="Arial"/>
          <w:bCs/>
          <w:color w:val="000000"/>
          <w:sz w:val="22"/>
        </w:rPr>
        <w:t>;</w:t>
      </w:r>
    </w:p>
    <w:p w14:paraId="1011BBCD" w14:textId="05844B95"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Policy Alignment: Collaborate with the project team and relevant Ukrainian authorities to assess existing gas market reform policies and identify areas that require better alignment with EU standards. Propose recommendations for policy adjustments to promote convergence with the EU approach</w:t>
      </w:r>
      <w:r w:rsidR="003E304A">
        <w:rPr>
          <w:rFonts w:ascii="Gill Sans MT" w:eastAsia="Cambria" w:hAnsi="Gill Sans MT" w:cs="Arial"/>
          <w:bCs/>
          <w:color w:val="000000"/>
          <w:sz w:val="22"/>
        </w:rPr>
        <w:t>;</w:t>
      </w:r>
    </w:p>
    <w:p w14:paraId="135E4FB6" w14:textId="21BA9C3D"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Stakeholder Engagement: Engage with key stakeholders across a wide spectrum in Ukraine, including government agencies, regulatory bodies, energy operators, and industry associations. Foster collaborative relationships and provide technical advice to support the adoption of EU best practices</w:t>
      </w:r>
      <w:r w:rsidR="003E304A">
        <w:rPr>
          <w:rFonts w:ascii="Gill Sans MT" w:eastAsia="Cambria" w:hAnsi="Gill Sans MT" w:cs="Arial"/>
          <w:bCs/>
          <w:color w:val="000000"/>
          <w:sz w:val="22"/>
        </w:rPr>
        <w:t>;</w:t>
      </w:r>
    </w:p>
    <w:p w14:paraId="2424C15A" w14:textId="564CC343"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Capacity Building: Develop and support training programs for Ukrainian energy sector professionals to enhance their understanding of EU gas market acquis. Empower local stakeholders to implement and enforce the measures effectively</w:t>
      </w:r>
      <w:r w:rsidR="003E304A">
        <w:rPr>
          <w:rFonts w:ascii="Gill Sans MT" w:eastAsia="Cambria" w:hAnsi="Gill Sans MT" w:cs="Arial"/>
          <w:bCs/>
          <w:color w:val="000000"/>
          <w:sz w:val="22"/>
        </w:rPr>
        <w:t>;</w:t>
      </w:r>
    </w:p>
    <w:p w14:paraId="311A5112" w14:textId="467542FB"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Market Analysis: Support gap analyses of Ukraine's gas market to identify areas that would benefit from amendments to better align with EU practices. Provide insights to inform decision-making processes, including commentary on how the EU developed its own approach, why certain decisions were made and why certain outcomes and approaches may be adopted in Ukraine</w:t>
      </w:r>
      <w:r w:rsidR="003E304A">
        <w:rPr>
          <w:rFonts w:ascii="Gill Sans MT" w:eastAsia="Cambria" w:hAnsi="Gill Sans MT" w:cs="Arial"/>
          <w:bCs/>
          <w:color w:val="000000"/>
          <w:sz w:val="22"/>
        </w:rPr>
        <w:t>;</w:t>
      </w:r>
    </w:p>
    <w:p w14:paraId="59A4DBEE" w14:textId="11F76969"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Act as an expert advisor to ESP during bilateral and multilateral stakeholders, supporting ESP’s positions with beneficiaries and the donor community. Evaluate the quality of ESP’s deliverables related to EU policy and regulation alignment</w:t>
      </w:r>
      <w:r w:rsidR="003E304A">
        <w:rPr>
          <w:rFonts w:ascii="Gill Sans MT" w:eastAsia="Cambria" w:hAnsi="Gill Sans MT" w:cs="Arial"/>
          <w:bCs/>
          <w:color w:val="000000"/>
          <w:sz w:val="22"/>
        </w:rPr>
        <w:t>;</w:t>
      </w:r>
    </w:p>
    <w:p w14:paraId="249622BD" w14:textId="77777777" w:rsidR="001A45BC" w:rsidRPr="001A45BC" w:rsidRDefault="001A45BC" w:rsidP="001A45BC">
      <w:pPr>
        <w:pStyle w:val="ListParagraph"/>
        <w:numPr>
          <w:ilvl w:val="0"/>
          <w:numId w:val="47"/>
        </w:numPr>
        <w:tabs>
          <w:tab w:val="left" w:pos="720"/>
        </w:tabs>
        <w:spacing w:after="0" w:line="240" w:lineRule="auto"/>
        <w:ind w:left="720"/>
        <w:textAlignment w:val="baseline"/>
        <w:rPr>
          <w:rFonts w:ascii="Gill Sans MT" w:eastAsia="Cambria" w:hAnsi="Gill Sans MT" w:cs="Arial"/>
          <w:bCs/>
          <w:color w:val="000000"/>
          <w:sz w:val="22"/>
        </w:rPr>
      </w:pPr>
      <w:r w:rsidRPr="001A45BC">
        <w:rPr>
          <w:rFonts w:ascii="Gill Sans MT" w:eastAsia="Cambria" w:hAnsi="Gill Sans MT" w:cs="Arial"/>
          <w:bCs/>
          <w:color w:val="000000"/>
          <w:sz w:val="22"/>
        </w:rPr>
        <w:t xml:space="preserve">Actively utilize your EU regulatory network to bring insights and contacts relevant to ESP’s work, and support engagement with expert consultants brought in to deliver specific projects related to the EU acquis implementation. </w:t>
      </w:r>
    </w:p>
    <w:p w14:paraId="0BDBACAE" w14:textId="77777777" w:rsidR="008B1DC8" w:rsidRPr="008B1DC8" w:rsidRDefault="008B1DC8" w:rsidP="008B1DC8">
      <w:pPr>
        <w:spacing w:after="0" w:line="240" w:lineRule="auto"/>
        <w:ind w:left="360"/>
        <w:contextualSpacing/>
        <w:textAlignment w:val="baseline"/>
        <w:rPr>
          <w:rFonts w:eastAsia="Cambria" w:cs="Arial"/>
          <w:bCs/>
          <w:color w:val="000000"/>
        </w:rPr>
      </w:pPr>
    </w:p>
    <w:p w14:paraId="214544E1" w14:textId="091C1F85" w:rsidR="00FC118E" w:rsidRPr="00E75DF1" w:rsidRDefault="00FC118E" w:rsidP="00FC118E">
      <w:pPr>
        <w:spacing w:after="0" w:line="240" w:lineRule="auto"/>
        <w:rPr>
          <w:rFonts w:eastAsia="Calibri" w:cs="Times New Roman"/>
          <w:b/>
          <w:color w:val="000000"/>
        </w:rPr>
      </w:pPr>
      <w:r w:rsidRPr="00E75DF1">
        <w:rPr>
          <w:rFonts w:eastAsia="Calibri" w:cs="Times New Roman"/>
          <w:b/>
          <w:color w:val="000000"/>
        </w:rPr>
        <w:t>Qualifications</w:t>
      </w:r>
    </w:p>
    <w:p w14:paraId="79703D8F" w14:textId="77777777" w:rsidR="00FC118E" w:rsidRPr="00FC118E" w:rsidRDefault="00FC118E" w:rsidP="00FC118E">
      <w:pPr>
        <w:spacing w:after="0" w:line="240" w:lineRule="auto"/>
        <w:rPr>
          <w:rFonts w:ascii="Calibri" w:eastAsia="Calibri" w:hAnsi="Calibri" w:cs="Times New Roman"/>
          <w:b/>
          <w:bCs/>
          <w:color w:val="000000"/>
        </w:rPr>
      </w:pPr>
    </w:p>
    <w:p w14:paraId="01C4701D" w14:textId="1BC20994" w:rsidR="003E304A" w:rsidRPr="003E304A" w:rsidRDefault="003E304A" w:rsidP="003E304A">
      <w:pPr>
        <w:numPr>
          <w:ilvl w:val="0"/>
          <w:numId w:val="35"/>
        </w:numPr>
        <w:spacing w:after="160" w:line="259" w:lineRule="auto"/>
        <w:contextualSpacing/>
        <w:rPr>
          <w:rFonts w:eastAsia="Times New Roman" w:cs="Arial"/>
          <w:bCs/>
          <w:color w:val="auto"/>
        </w:rPr>
      </w:pPr>
      <w:r w:rsidRPr="003E304A">
        <w:rPr>
          <w:rFonts w:eastAsia="Times New Roman" w:cs="Arial"/>
          <w:bCs/>
          <w:color w:val="auto"/>
        </w:rPr>
        <w:t>Bachelor’s or master’s degree in economics, policy or an equivalent field</w:t>
      </w:r>
      <w:r>
        <w:rPr>
          <w:rFonts w:eastAsia="Times New Roman" w:cs="Arial"/>
          <w:bCs/>
          <w:color w:val="auto"/>
        </w:rPr>
        <w:t>;</w:t>
      </w:r>
    </w:p>
    <w:p w14:paraId="680DC0BB" w14:textId="6B0E3D30"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Minimum 10 years of proven experience in the Gas sector</w:t>
      </w:r>
      <w:r>
        <w:rPr>
          <w:rFonts w:eastAsia="Times New Roman" w:cs="Arial"/>
          <w:bCs/>
          <w:color w:val="auto"/>
        </w:rPr>
        <w:t>;</w:t>
      </w:r>
    </w:p>
    <w:p w14:paraId="72A7A89D" w14:textId="02B93132"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Extensive knowledge and experience in EU gas market acquis, especially the network codes related to balancing, capacity allocation, and tariffs</w:t>
      </w:r>
      <w:r>
        <w:rPr>
          <w:rFonts w:eastAsia="Times New Roman" w:cs="Arial"/>
          <w:bCs/>
          <w:color w:val="auto"/>
        </w:rPr>
        <w:t>;</w:t>
      </w:r>
    </w:p>
    <w:p w14:paraId="24FC8859" w14:textId="5A58E224"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Proven track record in advisory roles, particularly in providing expert guidance on regulatory matters and policy development</w:t>
      </w:r>
      <w:r>
        <w:rPr>
          <w:rFonts w:eastAsia="Times New Roman" w:cs="Arial"/>
          <w:bCs/>
          <w:color w:val="auto"/>
        </w:rPr>
        <w:t>;</w:t>
      </w:r>
    </w:p>
    <w:p w14:paraId="070774CF" w14:textId="561D5936"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Strong analytical skills and the ability to assess complex regulatory environments</w:t>
      </w:r>
      <w:r>
        <w:rPr>
          <w:rFonts w:eastAsia="Times New Roman" w:cs="Arial"/>
          <w:bCs/>
          <w:color w:val="auto"/>
        </w:rPr>
        <w:t>;</w:t>
      </w:r>
    </w:p>
    <w:p w14:paraId="4418DEB3" w14:textId="3BB00EA5"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Excellent communication and interpersonal skills to work effectively with diverse stakeholders</w:t>
      </w:r>
      <w:r>
        <w:rPr>
          <w:rFonts w:eastAsia="Times New Roman" w:cs="Arial"/>
          <w:bCs/>
          <w:color w:val="auto"/>
        </w:rPr>
        <w:t>;</w:t>
      </w:r>
    </w:p>
    <w:p w14:paraId="09244708" w14:textId="518559BF"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Familiarity with the Ukrainian energy sector and its regulatory landscape is advantageous</w:t>
      </w:r>
      <w:r>
        <w:rPr>
          <w:rFonts w:eastAsia="Times New Roman" w:cs="Arial"/>
          <w:bCs/>
          <w:color w:val="auto"/>
        </w:rPr>
        <w:t>;</w:t>
      </w:r>
    </w:p>
    <w:p w14:paraId="4FC5B4C1" w14:textId="77777777" w:rsidR="003E304A" w:rsidRPr="003E304A" w:rsidRDefault="003E304A" w:rsidP="003E304A">
      <w:pPr>
        <w:numPr>
          <w:ilvl w:val="0"/>
          <w:numId w:val="35"/>
        </w:numPr>
        <w:spacing w:after="160" w:line="259" w:lineRule="auto"/>
        <w:contextualSpacing/>
        <w:jc w:val="both"/>
        <w:rPr>
          <w:rFonts w:eastAsia="Times New Roman" w:cs="Arial"/>
          <w:bCs/>
          <w:color w:val="auto"/>
        </w:rPr>
      </w:pPr>
      <w:r w:rsidRPr="003E304A">
        <w:rPr>
          <w:rFonts w:eastAsia="Times New Roman" w:cs="Arial"/>
          <w:bCs/>
          <w:color w:val="auto"/>
        </w:rPr>
        <w:t>Ability to build effective relationships with peers, supervisors, clients, and stakeholders.</w:t>
      </w:r>
    </w:p>
    <w:p w14:paraId="104C0D6B" w14:textId="77777777" w:rsidR="00FC118E" w:rsidRPr="00FC118E" w:rsidRDefault="00FC118E" w:rsidP="00FC118E">
      <w:pPr>
        <w:spacing w:after="0" w:line="240" w:lineRule="auto"/>
        <w:textAlignment w:val="baseline"/>
        <w:rPr>
          <w:rFonts w:eastAsia="Cambria" w:cs="Arial"/>
          <w:b/>
          <w:color w:val="000000"/>
          <w:sz w:val="20"/>
          <w:szCs w:val="20"/>
        </w:rPr>
      </w:pPr>
    </w:p>
    <w:p w14:paraId="5C8EB1F6" w14:textId="12C6BCAC" w:rsidR="00715EC4" w:rsidRDefault="00715EC4" w:rsidP="00FC118E">
      <w:pPr>
        <w:spacing w:after="160" w:line="264" w:lineRule="auto"/>
        <w:jc w:val="both"/>
        <w:rPr>
          <w:rFonts w:eastAsia="Times New Roman"/>
          <w:color w:val="auto"/>
        </w:rPr>
      </w:pPr>
      <w:r w:rsidRPr="00715EC4">
        <w:rPr>
          <w:rFonts w:eastAsia="Times New Roman"/>
          <w:color w:val="auto"/>
        </w:rPr>
        <w:t xml:space="preserve">To apply: Please submit a CV in English and a brief cover letter with the title of the position in the subject line to </w:t>
      </w:r>
      <w:hyperlink r:id="rId8" w:history="1">
        <w:r w:rsidRPr="00EB1203">
          <w:rPr>
            <w:rStyle w:val="Hyperlink"/>
            <w:rFonts w:eastAsia="Times New Roman"/>
          </w:rPr>
          <w:t>UESPjobs@tetratech.com</w:t>
        </w:r>
      </w:hyperlink>
    </w:p>
    <w:p w14:paraId="5F7389F7" w14:textId="1A878890" w:rsidR="00FC118E" w:rsidRPr="00FC118E" w:rsidRDefault="00FC118E" w:rsidP="00FC118E">
      <w:pPr>
        <w:spacing w:after="160" w:line="264" w:lineRule="auto"/>
        <w:jc w:val="both"/>
        <w:rPr>
          <w:rFonts w:eastAsia="Times New Roman" w:cs="Times New Roman"/>
          <w:color w:val="auto"/>
        </w:rPr>
      </w:pPr>
      <w:r w:rsidRPr="00FC118E">
        <w:rPr>
          <w:rFonts w:eastAsia="Times New Roman" w:cs="Times New Roman"/>
          <w:color w:val="auto"/>
        </w:rPr>
        <w:t xml:space="preserve">There is no deadline associated with this position, </w:t>
      </w:r>
      <w:r w:rsidRPr="00FC118E">
        <w:rPr>
          <w:rFonts w:eastAsia="Times New Roman" w:cs="Calibri"/>
          <w:color w:val="auto"/>
        </w:rPr>
        <w:t>USAID ESP</w:t>
      </w:r>
      <w:r w:rsidRPr="00FC118E">
        <w:rPr>
          <w:rFonts w:eastAsia="Times New Roman" w:cs="Times New Roman"/>
          <w:color w:val="auto"/>
        </w:rPr>
        <w:t xml:space="preserve"> may fill the position when a qualified person is found.  Only candidates who have been selected for an interview will be contacted.  </w:t>
      </w:r>
    </w:p>
    <w:p w14:paraId="7852AC83" w14:textId="03D0D6EC" w:rsidR="00D230E9" w:rsidRPr="003E304A" w:rsidRDefault="00FC118E" w:rsidP="003E304A">
      <w:pPr>
        <w:spacing w:after="160" w:line="264" w:lineRule="auto"/>
        <w:jc w:val="both"/>
        <w:rPr>
          <w:rFonts w:ascii="Calibri" w:eastAsia="Times New Roman" w:hAnsi="Calibri" w:cs="Times New Roman"/>
          <w:color w:val="auto"/>
        </w:rPr>
      </w:pPr>
      <w:r w:rsidRPr="00FC118E">
        <w:rPr>
          <w:rFonts w:eastAsia="Times New Roman" w:cs="Times New Roman"/>
          <w:color w:val="auto"/>
        </w:rPr>
        <w:t xml:space="preserve">To find more about USAID Energy Security Project, visit the Project website </w:t>
      </w:r>
      <w:hyperlink r:id="rId9" w:history="1">
        <w:r w:rsidRPr="00FC118E">
          <w:rPr>
            <w:rFonts w:eastAsia="Times New Roman" w:cs="Times New Roman"/>
            <w:color w:val="4472C4"/>
          </w:rPr>
          <w:t>https://energysecurityua.org</w:t>
        </w:r>
      </w:hyperlink>
      <w:r w:rsidRPr="00FC118E">
        <w:rPr>
          <w:rFonts w:eastAsia="Times New Roman" w:cs="Times New Roman"/>
          <w:color w:val="4472C4"/>
        </w:rPr>
        <w:t xml:space="preserve">, </w:t>
      </w:r>
      <w:r w:rsidRPr="00FC118E">
        <w:rPr>
          <w:rFonts w:eastAsia="Times New Roman" w:cs="Times New Roman"/>
          <w:color w:val="auto"/>
        </w:rPr>
        <w:t xml:space="preserve">follow us on Facebook </w:t>
      </w:r>
      <w:hyperlink r:id="rId10" w:history="1">
        <w:r w:rsidRPr="00FC118E">
          <w:rPr>
            <w:rFonts w:eastAsia="Times New Roman" w:cs="Times New Roman"/>
            <w:color w:val="4472C4"/>
          </w:rPr>
          <w:t>https://www.facebook.com/usaidesp/</w:t>
        </w:r>
      </w:hyperlink>
      <w:r w:rsidRPr="00FC118E">
        <w:rPr>
          <w:rFonts w:eastAsia="Times New Roman" w:cs="Times New Roman"/>
          <w:color w:val="4472C4"/>
        </w:rPr>
        <w:t xml:space="preserve">, </w:t>
      </w:r>
      <w:r w:rsidRPr="00FC118E">
        <w:rPr>
          <w:rFonts w:eastAsia="Times New Roman" w:cs="Times New Roman"/>
          <w:color w:val="auto"/>
        </w:rPr>
        <w:t xml:space="preserve">LinkedIn </w:t>
      </w:r>
      <w:hyperlink r:id="rId11" w:history="1">
        <w:r w:rsidRPr="00FC118E">
          <w:rPr>
            <w:rFonts w:eastAsia="Times New Roman" w:cs="Times New Roman"/>
            <w:color w:val="4472C4"/>
          </w:rPr>
          <w:t>https://www.linkedin.com/company/energysecurityua/</w:t>
        </w:r>
      </w:hyperlink>
      <w:r w:rsidRPr="00FC118E">
        <w:rPr>
          <w:rFonts w:eastAsia="Times New Roman" w:cs="Times New Roman"/>
          <w:color w:val="auto"/>
        </w:rPr>
        <w:t xml:space="preserve"> and </w:t>
      </w:r>
      <w:hyperlink r:id="rId12" w:history="1">
        <w:proofErr w:type="spellStart"/>
        <w:r w:rsidRPr="00FC118E">
          <w:rPr>
            <w:rFonts w:eastAsia="Times New Roman" w:cs="Times New Roman"/>
            <w:color w:val="4472C4"/>
          </w:rPr>
          <w:t>Youtube</w:t>
        </w:r>
        <w:proofErr w:type="spellEnd"/>
      </w:hyperlink>
    </w:p>
    <w:sectPr w:rsidR="00D230E9" w:rsidRPr="003E304A"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8C7F" w14:textId="77777777" w:rsidR="00507C29" w:rsidRPr="00030DDE" w:rsidRDefault="00507C29" w:rsidP="00030DDE">
      <w:r>
        <w:separator/>
      </w:r>
    </w:p>
  </w:endnote>
  <w:endnote w:type="continuationSeparator" w:id="0">
    <w:p w14:paraId="330F6166" w14:textId="77777777" w:rsidR="00507C29" w:rsidRPr="00030DDE" w:rsidRDefault="00507C29"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3D538D72"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1A45BC" w:rsidRPr="001A45BC">
      <w:t>Gas EU Regulation Advisor</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49B3" w14:textId="77777777" w:rsidR="00507C29" w:rsidRPr="00030DDE" w:rsidRDefault="00507C29" w:rsidP="00030DDE">
      <w:r>
        <w:separator/>
      </w:r>
    </w:p>
  </w:footnote>
  <w:footnote w:type="continuationSeparator" w:id="0">
    <w:p w14:paraId="03017025" w14:textId="77777777" w:rsidR="00507C29" w:rsidRPr="00030DDE" w:rsidRDefault="00507C29" w:rsidP="0003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qDAIAAPY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1LDgIAAP0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F2"/>
    <w:multiLevelType w:val="multilevel"/>
    <w:tmpl w:val="6C1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4283"/>
    <w:multiLevelType w:val="multilevel"/>
    <w:tmpl w:val="5246B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F4657"/>
    <w:multiLevelType w:val="hybridMultilevel"/>
    <w:tmpl w:val="714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4B67"/>
    <w:multiLevelType w:val="hybridMultilevel"/>
    <w:tmpl w:val="AA3C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A7EA0"/>
    <w:multiLevelType w:val="hybridMultilevel"/>
    <w:tmpl w:val="329C0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E6BC8"/>
    <w:multiLevelType w:val="hybridMultilevel"/>
    <w:tmpl w:val="55C0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37644"/>
    <w:multiLevelType w:val="hybridMultilevel"/>
    <w:tmpl w:val="ACF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3577"/>
    <w:multiLevelType w:val="multilevel"/>
    <w:tmpl w:val="CE0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48956B2"/>
    <w:multiLevelType w:val="multilevel"/>
    <w:tmpl w:val="59D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A7543"/>
    <w:multiLevelType w:val="hybridMultilevel"/>
    <w:tmpl w:val="D87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C4ACF"/>
    <w:multiLevelType w:val="multilevel"/>
    <w:tmpl w:val="5FC6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7D16"/>
    <w:multiLevelType w:val="multilevel"/>
    <w:tmpl w:val="2AD8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95CC6"/>
    <w:multiLevelType w:val="hybridMultilevel"/>
    <w:tmpl w:val="35C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A4F91"/>
    <w:multiLevelType w:val="multilevel"/>
    <w:tmpl w:val="6C2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E91BA9"/>
    <w:multiLevelType w:val="hybridMultilevel"/>
    <w:tmpl w:val="A50C4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A87EC2"/>
    <w:multiLevelType w:val="multilevel"/>
    <w:tmpl w:val="783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70759"/>
    <w:multiLevelType w:val="hybridMultilevel"/>
    <w:tmpl w:val="8BF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91AB0"/>
    <w:multiLevelType w:val="hybridMultilevel"/>
    <w:tmpl w:val="0774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D699C"/>
    <w:multiLevelType w:val="hybridMultilevel"/>
    <w:tmpl w:val="C03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B69BE"/>
    <w:multiLevelType w:val="hybridMultilevel"/>
    <w:tmpl w:val="C3AC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3223A10"/>
    <w:multiLevelType w:val="hybridMultilevel"/>
    <w:tmpl w:val="93C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B1226"/>
    <w:multiLevelType w:val="hybridMultilevel"/>
    <w:tmpl w:val="9E7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A6BC3"/>
    <w:multiLevelType w:val="multilevel"/>
    <w:tmpl w:val="E56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51ECC"/>
    <w:multiLevelType w:val="hybridMultilevel"/>
    <w:tmpl w:val="444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5B3"/>
    <w:multiLevelType w:val="hybridMultilevel"/>
    <w:tmpl w:val="D7E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904D5"/>
    <w:multiLevelType w:val="hybridMultilevel"/>
    <w:tmpl w:val="103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9881791">
    <w:abstractNumId w:val="46"/>
  </w:num>
  <w:num w:numId="2" w16cid:durableId="1622959311">
    <w:abstractNumId w:val="31"/>
  </w:num>
  <w:num w:numId="3" w16cid:durableId="1661228252">
    <w:abstractNumId w:val="37"/>
  </w:num>
  <w:num w:numId="4" w16cid:durableId="61295766">
    <w:abstractNumId w:val="19"/>
  </w:num>
  <w:num w:numId="5" w16cid:durableId="987511405">
    <w:abstractNumId w:val="14"/>
  </w:num>
  <w:num w:numId="6" w16cid:durableId="1073308600">
    <w:abstractNumId w:val="10"/>
  </w:num>
  <w:num w:numId="7" w16cid:durableId="1779371822">
    <w:abstractNumId w:val="9"/>
  </w:num>
  <w:num w:numId="8" w16cid:durableId="832137813">
    <w:abstractNumId w:val="27"/>
  </w:num>
  <w:num w:numId="9" w16cid:durableId="1385711202">
    <w:abstractNumId w:val="21"/>
  </w:num>
  <w:num w:numId="10" w16cid:durableId="1007098410">
    <w:abstractNumId w:val="11"/>
  </w:num>
  <w:num w:numId="11" w16cid:durableId="2032995791">
    <w:abstractNumId w:val="35"/>
  </w:num>
  <w:num w:numId="12" w16cid:durableId="536896208">
    <w:abstractNumId w:val="39"/>
  </w:num>
  <w:num w:numId="13" w16cid:durableId="1378965349">
    <w:abstractNumId w:val="29"/>
  </w:num>
  <w:num w:numId="14" w16cid:durableId="1904751438">
    <w:abstractNumId w:val="36"/>
  </w:num>
  <w:num w:numId="15" w16cid:durableId="153641581">
    <w:abstractNumId w:val="22"/>
  </w:num>
  <w:num w:numId="16" w16cid:durableId="1320574901">
    <w:abstractNumId w:val="24"/>
  </w:num>
  <w:num w:numId="17" w16cid:durableId="699472737">
    <w:abstractNumId w:val="23"/>
  </w:num>
  <w:num w:numId="18" w16cid:durableId="1906531028">
    <w:abstractNumId w:val="2"/>
  </w:num>
  <w:num w:numId="19" w16cid:durableId="898173196">
    <w:abstractNumId w:val="38"/>
  </w:num>
  <w:num w:numId="20" w16cid:durableId="530150683">
    <w:abstractNumId w:val="15"/>
  </w:num>
  <w:num w:numId="21" w16cid:durableId="1848326243">
    <w:abstractNumId w:val="33"/>
  </w:num>
  <w:num w:numId="22" w16cid:durableId="814370985">
    <w:abstractNumId w:val="1"/>
  </w:num>
  <w:num w:numId="23" w16cid:durableId="68500239">
    <w:abstractNumId w:val="34"/>
  </w:num>
  <w:num w:numId="24" w16cid:durableId="18745267">
    <w:abstractNumId w:val="43"/>
  </w:num>
  <w:num w:numId="25" w16cid:durableId="639262617">
    <w:abstractNumId w:val="3"/>
  </w:num>
  <w:num w:numId="26" w16cid:durableId="303196399">
    <w:abstractNumId w:val="17"/>
  </w:num>
  <w:num w:numId="27" w16cid:durableId="1659069647">
    <w:abstractNumId w:val="13"/>
  </w:num>
  <w:num w:numId="28" w16cid:durableId="976684125">
    <w:abstractNumId w:val="40"/>
  </w:num>
  <w:num w:numId="29" w16cid:durableId="14893318">
    <w:abstractNumId w:val="45"/>
  </w:num>
  <w:num w:numId="30" w16cid:durableId="1060984495">
    <w:abstractNumId w:val="5"/>
  </w:num>
  <w:num w:numId="31" w16cid:durableId="653531655">
    <w:abstractNumId w:val="7"/>
  </w:num>
  <w:num w:numId="32" w16cid:durableId="1875582590">
    <w:abstractNumId w:val="4"/>
  </w:num>
  <w:num w:numId="33" w16cid:durableId="267930365">
    <w:abstractNumId w:val="20"/>
  </w:num>
  <w:num w:numId="34" w16cid:durableId="575093928">
    <w:abstractNumId w:val="26"/>
  </w:num>
  <w:num w:numId="35" w16cid:durableId="708452749">
    <w:abstractNumId w:val="18"/>
  </w:num>
  <w:num w:numId="36" w16cid:durableId="2135051181">
    <w:abstractNumId w:val="41"/>
  </w:num>
  <w:num w:numId="37" w16cid:durableId="1411612262">
    <w:abstractNumId w:val="28"/>
  </w:num>
  <w:num w:numId="38" w16cid:durableId="479932311">
    <w:abstractNumId w:val="30"/>
  </w:num>
  <w:num w:numId="39" w16cid:durableId="1922327645">
    <w:abstractNumId w:val="6"/>
  </w:num>
  <w:num w:numId="40" w16cid:durableId="707492507">
    <w:abstractNumId w:val="44"/>
  </w:num>
  <w:num w:numId="41" w16cid:durableId="846751882">
    <w:abstractNumId w:val="42"/>
  </w:num>
  <w:num w:numId="42" w16cid:durableId="1000741327">
    <w:abstractNumId w:val="0"/>
  </w:num>
  <w:num w:numId="43" w16cid:durableId="121000329">
    <w:abstractNumId w:val="16"/>
  </w:num>
  <w:num w:numId="44" w16cid:durableId="695665211">
    <w:abstractNumId w:val="8"/>
  </w:num>
  <w:num w:numId="45" w16cid:durableId="1184710999">
    <w:abstractNumId w:val="12"/>
  </w:num>
  <w:num w:numId="46" w16cid:durableId="443961797">
    <w:abstractNumId w:val="32"/>
  </w:num>
  <w:num w:numId="47" w16cid:durableId="20921233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357"/>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2133"/>
    <w:rsid w:val="00044144"/>
    <w:rsid w:val="00075CC4"/>
    <w:rsid w:val="00090A6F"/>
    <w:rsid w:val="00101B57"/>
    <w:rsid w:val="00123F28"/>
    <w:rsid w:val="00124391"/>
    <w:rsid w:val="0012716C"/>
    <w:rsid w:val="00147A75"/>
    <w:rsid w:val="00166DA3"/>
    <w:rsid w:val="00170B71"/>
    <w:rsid w:val="00194F6F"/>
    <w:rsid w:val="001A45BC"/>
    <w:rsid w:val="001B36D3"/>
    <w:rsid w:val="001E08DB"/>
    <w:rsid w:val="001F29CB"/>
    <w:rsid w:val="00213328"/>
    <w:rsid w:val="0022656B"/>
    <w:rsid w:val="002273A1"/>
    <w:rsid w:val="0023035D"/>
    <w:rsid w:val="00232B69"/>
    <w:rsid w:val="00235FB4"/>
    <w:rsid w:val="00245027"/>
    <w:rsid w:val="00262F58"/>
    <w:rsid w:val="00267796"/>
    <w:rsid w:val="00297075"/>
    <w:rsid w:val="002C6605"/>
    <w:rsid w:val="002D7BB9"/>
    <w:rsid w:val="002E46CC"/>
    <w:rsid w:val="003238A7"/>
    <w:rsid w:val="003256B8"/>
    <w:rsid w:val="00392DDA"/>
    <w:rsid w:val="003C0953"/>
    <w:rsid w:val="003C339D"/>
    <w:rsid w:val="003E304A"/>
    <w:rsid w:val="003E38F7"/>
    <w:rsid w:val="003F70C6"/>
    <w:rsid w:val="00402F9B"/>
    <w:rsid w:val="00405260"/>
    <w:rsid w:val="00422B6E"/>
    <w:rsid w:val="0042781E"/>
    <w:rsid w:val="004317DF"/>
    <w:rsid w:val="00470050"/>
    <w:rsid w:val="004A30C4"/>
    <w:rsid w:val="004A3A55"/>
    <w:rsid w:val="004B289E"/>
    <w:rsid w:val="004C46B5"/>
    <w:rsid w:val="004C4AF0"/>
    <w:rsid w:val="004C79AA"/>
    <w:rsid w:val="004D6272"/>
    <w:rsid w:val="004F5075"/>
    <w:rsid w:val="00507C29"/>
    <w:rsid w:val="00541612"/>
    <w:rsid w:val="00570682"/>
    <w:rsid w:val="00573296"/>
    <w:rsid w:val="00591F91"/>
    <w:rsid w:val="005B2962"/>
    <w:rsid w:val="005B6DDB"/>
    <w:rsid w:val="005E14A1"/>
    <w:rsid w:val="005F5EBE"/>
    <w:rsid w:val="006053DA"/>
    <w:rsid w:val="00642DC0"/>
    <w:rsid w:val="00671797"/>
    <w:rsid w:val="00675968"/>
    <w:rsid w:val="006806F2"/>
    <w:rsid w:val="006B6500"/>
    <w:rsid w:val="006D1AD1"/>
    <w:rsid w:val="006F2164"/>
    <w:rsid w:val="006F5C2D"/>
    <w:rsid w:val="00704C3A"/>
    <w:rsid w:val="00714F02"/>
    <w:rsid w:val="00715EC4"/>
    <w:rsid w:val="00724897"/>
    <w:rsid w:val="007268C9"/>
    <w:rsid w:val="00755A0A"/>
    <w:rsid w:val="00765926"/>
    <w:rsid w:val="0076681D"/>
    <w:rsid w:val="0076776E"/>
    <w:rsid w:val="007708CA"/>
    <w:rsid w:val="0078090C"/>
    <w:rsid w:val="007A0880"/>
    <w:rsid w:val="007C7E01"/>
    <w:rsid w:val="007F0085"/>
    <w:rsid w:val="007F5AA4"/>
    <w:rsid w:val="007F5C8D"/>
    <w:rsid w:val="008404C8"/>
    <w:rsid w:val="00842971"/>
    <w:rsid w:val="00870838"/>
    <w:rsid w:val="00880294"/>
    <w:rsid w:val="00895CBA"/>
    <w:rsid w:val="008A47CC"/>
    <w:rsid w:val="008A6979"/>
    <w:rsid w:val="008B03F5"/>
    <w:rsid w:val="008B1DC8"/>
    <w:rsid w:val="008C0DFA"/>
    <w:rsid w:val="008E31D5"/>
    <w:rsid w:val="0090427B"/>
    <w:rsid w:val="00921D6D"/>
    <w:rsid w:val="00933AF4"/>
    <w:rsid w:val="00933BED"/>
    <w:rsid w:val="0094300B"/>
    <w:rsid w:val="00952522"/>
    <w:rsid w:val="009562CF"/>
    <w:rsid w:val="00966381"/>
    <w:rsid w:val="00976880"/>
    <w:rsid w:val="009809EA"/>
    <w:rsid w:val="009914EE"/>
    <w:rsid w:val="009E0D01"/>
    <w:rsid w:val="009E6A0D"/>
    <w:rsid w:val="009F0396"/>
    <w:rsid w:val="00A041A9"/>
    <w:rsid w:val="00A063B5"/>
    <w:rsid w:val="00A27374"/>
    <w:rsid w:val="00A6660C"/>
    <w:rsid w:val="00A92656"/>
    <w:rsid w:val="00AD307C"/>
    <w:rsid w:val="00AF5CFC"/>
    <w:rsid w:val="00B04C35"/>
    <w:rsid w:val="00B053C3"/>
    <w:rsid w:val="00B61186"/>
    <w:rsid w:val="00B65EEE"/>
    <w:rsid w:val="00B66CAB"/>
    <w:rsid w:val="00B762A7"/>
    <w:rsid w:val="00B90837"/>
    <w:rsid w:val="00BA4B45"/>
    <w:rsid w:val="00BD7C91"/>
    <w:rsid w:val="00C077D6"/>
    <w:rsid w:val="00C27399"/>
    <w:rsid w:val="00C56848"/>
    <w:rsid w:val="00C60D2F"/>
    <w:rsid w:val="00C74C5C"/>
    <w:rsid w:val="00C83F64"/>
    <w:rsid w:val="00C86BF7"/>
    <w:rsid w:val="00C86D51"/>
    <w:rsid w:val="00C872DF"/>
    <w:rsid w:val="00CA2356"/>
    <w:rsid w:val="00CA6D00"/>
    <w:rsid w:val="00CD62E2"/>
    <w:rsid w:val="00CE3525"/>
    <w:rsid w:val="00CF0B06"/>
    <w:rsid w:val="00D00129"/>
    <w:rsid w:val="00D230E9"/>
    <w:rsid w:val="00D358C4"/>
    <w:rsid w:val="00D45CD9"/>
    <w:rsid w:val="00D64FAF"/>
    <w:rsid w:val="00D650C4"/>
    <w:rsid w:val="00D80881"/>
    <w:rsid w:val="00D96561"/>
    <w:rsid w:val="00DA4F60"/>
    <w:rsid w:val="00DC1F17"/>
    <w:rsid w:val="00DC546B"/>
    <w:rsid w:val="00DE7110"/>
    <w:rsid w:val="00DF6BD0"/>
    <w:rsid w:val="00E40185"/>
    <w:rsid w:val="00E40D42"/>
    <w:rsid w:val="00E412A9"/>
    <w:rsid w:val="00E65E1E"/>
    <w:rsid w:val="00E75DF1"/>
    <w:rsid w:val="00E8140F"/>
    <w:rsid w:val="00E9510F"/>
    <w:rsid w:val="00EA661E"/>
    <w:rsid w:val="00EB0390"/>
    <w:rsid w:val="00EB0F85"/>
    <w:rsid w:val="00EC45D0"/>
    <w:rsid w:val="00EE65BD"/>
    <w:rsid w:val="00EE7E98"/>
    <w:rsid w:val="00F0325E"/>
    <w:rsid w:val="00F17804"/>
    <w:rsid w:val="00F3299B"/>
    <w:rsid w:val="00F65AD1"/>
    <w:rsid w:val="00F666CB"/>
    <w:rsid w:val="00F7513C"/>
    <w:rsid w:val="00F868EE"/>
    <w:rsid w:val="00FA2606"/>
    <w:rsid w:val="00FB4C2B"/>
    <w:rsid w:val="00FB642F"/>
    <w:rsid w:val="00FC0452"/>
    <w:rsid w:val="00FC0F3C"/>
    <w:rsid w:val="00FC118E"/>
    <w:rsid w:val="00FD38B0"/>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 w:type="character" w:styleId="Emphasis">
    <w:name w:val="Emphasis"/>
    <w:basedOn w:val="DefaultParagraphFont"/>
    <w:uiPriority w:val="20"/>
    <w:qFormat/>
    <w:rsid w:val="00A92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946">
      <w:bodyDiv w:val="1"/>
      <w:marLeft w:val="0"/>
      <w:marRight w:val="0"/>
      <w:marTop w:val="0"/>
      <w:marBottom w:val="0"/>
      <w:divBdr>
        <w:top w:val="none" w:sz="0" w:space="0" w:color="auto"/>
        <w:left w:val="none" w:sz="0" w:space="0" w:color="auto"/>
        <w:bottom w:val="none" w:sz="0" w:space="0" w:color="auto"/>
        <w:right w:val="none" w:sz="0" w:space="0" w:color="auto"/>
      </w:divBdr>
    </w:div>
    <w:div w:id="167716863">
      <w:bodyDiv w:val="1"/>
      <w:marLeft w:val="0"/>
      <w:marRight w:val="0"/>
      <w:marTop w:val="0"/>
      <w:marBottom w:val="0"/>
      <w:divBdr>
        <w:top w:val="none" w:sz="0" w:space="0" w:color="auto"/>
        <w:left w:val="none" w:sz="0" w:space="0" w:color="auto"/>
        <w:bottom w:val="none" w:sz="0" w:space="0" w:color="auto"/>
        <w:right w:val="none" w:sz="0" w:space="0" w:color="auto"/>
      </w:divBdr>
    </w:div>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 w:id="1870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8F19-8CE4-CF48-B3EB-DF89F27F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32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7</cp:revision>
  <dcterms:created xsi:type="dcterms:W3CDTF">2023-07-20T15:55:00Z</dcterms:created>
  <dcterms:modified xsi:type="dcterms:W3CDTF">2023-08-07T09:05:00Z</dcterms:modified>
</cp:coreProperties>
</file>