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6" w:type="dxa"/>
        <w:tblLook w:val="04A0" w:firstRow="1" w:lastRow="0" w:firstColumn="1" w:lastColumn="0" w:noHBand="0" w:noVBand="1"/>
      </w:tblPr>
      <w:tblGrid>
        <w:gridCol w:w="326"/>
        <w:gridCol w:w="4930"/>
        <w:gridCol w:w="4863"/>
      </w:tblGrid>
      <w:tr w:rsidR="00EC485B" w:rsidRPr="003A64F9" w14:paraId="6BEF4FCF" w14:textId="77777777" w:rsidTr="008B6090">
        <w:tc>
          <w:tcPr>
            <w:tcW w:w="715" w:type="dxa"/>
          </w:tcPr>
          <w:p w14:paraId="74CED1EA" w14:textId="77777777" w:rsidR="00EC485B" w:rsidRPr="003A64F9" w:rsidRDefault="00EC485B" w:rsidP="00D25482">
            <w:r w:rsidRPr="003A64F9">
              <w:t>#</w:t>
            </w:r>
          </w:p>
        </w:tc>
        <w:tc>
          <w:tcPr>
            <w:tcW w:w="5040" w:type="dxa"/>
          </w:tcPr>
          <w:p w14:paraId="3D57FF09" w14:textId="77777777" w:rsidR="00EC485B" w:rsidRPr="002E3C69" w:rsidRDefault="00EC485B" w:rsidP="00D25482">
            <w:r w:rsidRPr="002E3C69">
              <w:t>Bidders’ questions</w:t>
            </w:r>
          </w:p>
        </w:tc>
        <w:tc>
          <w:tcPr>
            <w:tcW w:w="3441" w:type="dxa"/>
          </w:tcPr>
          <w:p w14:paraId="73DFCE03" w14:textId="77777777" w:rsidR="00EC485B" w:rsidRPr="003A64F9" w:rsidRDefault="00EC485B" w:rsidP="00D25482">
            <w:r w:rsidRPr="003A64F9">
              <w:t xml:space="preserve">Tetra Tech’s reply </w:t>
            </w:r>
          </w:p>
        </w:tc>
      </w:tr>
      <w:tr w:rsidR="00042E14" w:rsidRPr="008C1C69" w14:paraId="7592DD15" w14:textId="77777777" w:rsidTr="00412753">
        <w:trPr>
          <w:trHeight w:val="3581"/>
        </w:trPr>
        <w:tc>
          <w:tcPr>
            <w:tcW w:w="715" w:type="dxa"/>
          </w:tcPr>
          <w:p w14:paraId="56D5A8D1" w14:textId="77777777" w:rsidR="00042E14" w:rsidRPr="003A64F9" w:rsidRDefault="00042E14" w:rsidP="00042E14">
            <w:pPr>
              <w:pStyle w:val="ListParagraph"/>
              <w:numPr>
                <w:ilvl w:val="0"/>
                <w:numId w:val="5"/>
              </w:numPr>
            </w:pPr>
          </w:p>
        </w:tc>
        <w:tc>
          <w:tcPr>
            <w:tcW w:w="5040" w:type="dxa"/>
          </w:tcPr>
          <w:p w14:paraId="5DBA3410" w14:textId="77777777" w:rsidR="00042E14" w:rsidRPr="002E3C69" w:rsidRDefault="00E8531D" w:rsidP="008E5E28">
            <w:r w:rsidRPr="002E3C69">
              <w:t xml:space="preserve">Based on our understanding the analysis under </w:t>
            </w:r>
            <w:proofErr w:type="gramStart"/>
            <w:r w:rsidRPr="002E3C69">
              <w:t>the para</w:t>
            </w:r>
            <w:proofErr w:type="gramEnd"/>
            <w:r w:rsidRPr="002E3C69">
              <w:t xml:space="preserve"> 2 and 3 of the section 3 (Scope of Work, Attachment A) of the RFP shall be among others conducted based on the selected operations performed within the reported period (since January 2022). Or shall we consider analysis based on all operations performed within the reported period (since January 2022)? If we need to target the selected operations, are there any preferences on the number and/or approach on samples?</w:t>
            </w:r>
          </w:p>
        </w:tc>
        <w:tc>
          <w:tcPr>
            <w:tcW w:w="3441" w:type="dxa"/>
          </w:tcPr>
          <w:p w14:paraId="4B6C375B" w14:textId="77777777" w:rsidR="00011971" w:rsidRDefault="008C1C69" w:rsidP="00011971">
            <w:r>
              <w:t>Analysis should be based on all operations with specific attention to the p</w:t>
            </w:r>
            <w:r w:rsidR="00124518">
              <w:t>eriod of March-April 2022 and s</w:t>
            </w:r>
            <w:r w:rsidR="00F865A8">
              <w:t>peci</w:t>
            </w:r>
            <w:r w:rsidR="006C2AAA">
              <w:t>al attention to PSO suppliers an</w:t>
            </w:r>
            <w:r w:rsidR="00F865A8">
              <w:t>d gas producers</w:t>
            </w:r>
            <w:r>
              <w:t xml:space="preserve">. </w:t>
            </w:r>
          </w:p>
          <w:p w14:paraId="11948D55" w14:textId="77777777" w:rsidR="00042E14" w:rsidRDefault="008C1C69" w:rsidP="00011971">
            <w:r>
              <w:t>GTSOU makes allocation with the support of information platform, so analysis should</w:t>
            </w:r>
            <w:r w:rsidR="006C2AAA">
              <w:rPr>
                <w:lang w:val="uk-UA"/>
              </w:rPr>
              <w:t xml:space="preserve"> </w:t>
            </w:r>
            <w:r w:rsidR="006C2AAA">
              <w:t>include</w:t>
            </w:r>
            <w:r>
              <w:t xml:space="preserve"> </w:t>
            </w:r>
            <w:r w:rsidR="00011971">
              <w:t xml:space="preserve">general approach to performing allocation/calculation of marginal price by GTSOU and if that approach corresponds with the active legislation. </w:t>
            </w:r>
          </w:p>
          <w:p w14:paraId="0AFE9F3E" w14:textId="77777777" w:rsidR="00011971" w:rsidRDefault="00011971" w:rsidP="00011971"/>
          <w:p w14:paraId="652FCB30" w14:textId="77777777" w:rsidR="00011971" w:rsidRPr="008C1C69" w:rsidRDefault="00011971" w:rsidP="00F865A8"/>
        </w:tc>
      </w:tr>
      <w:tr w:rsidR="00042E14" w:rsidRPr="003A64F9" w14:paraId="059F4675" w14:textId="77777777" w:rsidTr="008B6090">
        <w:tc>
          <w:tcPr>
            <w:tcW w:w="715" w:type="dxa"/>
          </w:tcPr>
          <w:p w14:paraId="1E385702" w14:textId="77777777" w:rsidR="00042E14" w:rsidRPr="003A64F9" w:rsidRDefault="00042E14" w:rsidP="00042E14">
            <w:pPr>
              <w:pStyle w:val="ListParagraph"/>
              <w:numPr>
                <w:ilvl w:val="0"/>
                <w:numId w:val="5"/>
              </w:numPr>
              <w:rPr>
                <w:lang w:val="uk-UA"/>
              </w:rPr>
            </w:pPr>
          </w:p>
        </w:tc>
        <w:tc>
          <w:tcPr>
            <w:tcW w:w="5040" w:type="dxa"/>
          </w:tcPr>
          <w:p w14:paraId="726E9C40" w14:textId="77777777" w:rsidR="00042E14" w:rsidRPr="002E3C69" w:rsidRDefault="00E8531D" w:rsidP="00042E14">
            <w:r w:rsidRPr="002E3C69">
              <w:t>Based on our understanding the analysis under the para 1 of the section 3 (Scope of Work, Attachment A) of the RFP shall include potential breaches of the balancing rules by the Shippers, their causes, and their effects on the operational performance and financial performance of the GTSOU in the context of balancing in 2022. Is 2023 excluded from the analysis? If we need to target the selected operations, are there any preferences on the number and/or approach on samples?</w:t>
            </w:r>
          </w:p>
        </w:tc>
        <w:tc>
          <w:tcPr>
            <w:tcW w:w="3441" w:type="dxa"/>
          </w:tcPr>
          <w:p w14:paraId="186D29C1" w14:textId="77777777" w:rsidR="00042E14" w:rsidRDefault="00F865A8" w:rsidP="00F865A8">
            <w:r>
              <w:t>Analysis should be based on op</w:t>
            </w:r>
            <w:r w:rsidR="006C2AAA">
              <w:t>erations of the PSO suppliers an</w:t>
            </w:r>
            <w:r>
              <w:t xml:space="preserve">d gas producers during the period of March-April 2022. </w:t>
            </w:r>
          </w:p>
          <w:p w14:paraId="2EE7972C" w14:textId="77777777" w:rsidR="00F865A8" w:rsidRPr="003A64F9" w:rsidRDefault="00F865A8" w:rsidP="00F865A8">
            <w:r>
              <w:t xml:space="preserve">2023 is excluded from the analysis. </w:t>
            </w:r>
          </w:p>
        </w:tc>
      </w:tr>
      <w:tr w:rsidR="00042E14" w:rsidRPr="003A64F9" w14:paraId="67C36998" w14:textId="77777777" w:rsidTr="008B6090">
        <w:trPr>
          <w:trHeight w:val="70"/>
        </w:trPr>
        <w:tc>
          <w:tcPr>
            <w:tcW w:w="715" w:type="dxa"/>
          </w:tcPr>
          <w:p w14:paraId="4A5EB751" w14:textId="77777777" w:rsidR="00042E14" w:rsidRPr="003A64F9" w:rsidRDefault="00042E14" w:rsidP="00042E14">
            <w:pPr>
              <w:pStyle w:val="ListParagraph"/>
              <w:numPr>
                <w:ilvl w:val="0"/>
                <w:numId w:val="5"/>
              </w:numPr>
              <w:rPr>
                <w:lang w:val="uk-UA"/>
              </w:rPr>
            </w:pPr>
          </w:p>
        </w:tc>
        <w:tc>
          <w:tcPr>
            <w:tcW w:w="5040" w:type="dxa"/>
          </w:tcPr>
          <w:p w14:paraId="2EAB7CD6" w14:textId="77777777" w:rsidR="00042E14" w:rsidRPr="002E3C69" w:rsidRDefault="00D93A35" w:rsidP="00364E58">
            <w:r w:rsidRPr="002E3C69">
              <w:t xml:space="preserve">Do we </w:t>
            </w:r>
            <w:proofErr w:type="gramStart"/>
            <w:r w:rsidRPr="002E3C69">
              <w:t>understand correctly</w:t>
            </w:r>
            <w:proofErr w:type="gramEnd"/>
            <w:r w:rsidRPr="002E3C69">
              <w:t xml:space="preserve"> that under the para 4 of the section 3 (Scope of Work, Attachment A) of the RFP-UESP-2023-002 the analysis shall be performed based on internal documents, but not the on the work of IT platform as such?</w:t>
            </w:r>
          </w:p>
        </w:tc>
        <w:tc>
          <w:tcPr>
            <w:tcW w:w="3441" w:type="dxa"/>
          </w:tcPr>
          <w:p w14:paraId="03E0F27D" w14:textId="77777777" w:rsidR="00042E14" w:rsidRPr="003A64F9" w:rsidRDefault="00011971" w:rsidP="00042E14">
            <w:r>
              <w:t>The analysis should be based on internal documents and data provided by DSOs to GTSO.</w:t>
            </w:r>
          </w:p>
        </w:tc>
      </w:tr>
      <w:tr w:rsidR="00042E14" w:rsidRPr="003A64F9" w14:paraId="0B8ED050" w14:textId="77777777" w:rsidTr="008B6090">
        <w:trPr>
          <w:trHeight w:val="70"/>
        </w:trPr>
        <w:tc>
          <w:tcPr>
            <w:tcW w:w="715" w:type="dxa"/>
          </w:tcPr>
          <w:p w14:paraId="4EB6D14C" w14:textId="77777777" w:rsidR="00042E14" w:rsidRPr="003A64F9" w:rsidRDefault="00042E14" w:rsidP="00042E14">
            <w:pPr>
              <w:pStyle w:val="ListParagraph"/>
              <w:numPr>
                <w:ilvl w:val="0"/>
                <w:numId w:val="5"/>
              </w:numPr>
              <w:rPr>
                <w:lang w:val="uk-UA"/>
              </w:rPr>
            </w:pPr>
          </w:p>
        </w:tc>
        <w:tc>
          <w:tcPr>
            <w:tcW w:w="5040" w:type="dxa"/>
          </w:tcPr>
          <w:p w14:paraId="56882BB9" w14:textId="77777777" w:rsidR="00042E14" w:rsidRPr="002E3C69" w:rsidRDefault="00D93A35" w:rsidP="008B6090">
            <w:r w:rsidRPr="002E3C69">
              <w:t xml:space="preserve">Please clarify your expectations over the following scope: "3. Analysis of accounting and financial reporting of results of the GTSOU balancing activities, maintaining balancing neutrality, as well as recommendations on how to improve these". </w:t>
            </w:r>
            <w:proofErr w:type="gramStart"/>
            <w:r w:rsidRPr="002E3C69">
              <w:t>In particular, please</w:t>
            </w:r>
            <w:proofErr w:type="gramEnd"/>
            <w:r w:rsidRPr="002E3C69">
              <w:t xml:space="preserve"> specify what basis should be this analysis and comparison performed on (Code of GTSOU, Ukrainian law requirements, European similar practices etc.).</w:t>
            </w:r>
          </w:p>
        </w:tc>
        <w:tc>
          <w:tcPr>
            <w:tcW w:w="3441" w:type="dxa"/>
          </w:tcPr>
          <w:p w14:paraId="41022D40" w14:textId="77777777" w:rsidR="000A723B" w:rsidRPr="003A64F9" w:rsidRDefault="002B157B" w:rsidP="00042E14">
            <w:r>
              <w:t xml:space="preserve">The basis for the analysis is European practice. </w:t>
            </w:r>
          </w:p>
        </w:tc>
      </w:tr>
      <w:tr w:rsidR="00042E14" w:rsidRPr="003A64F9" w14:paraId="1FBC6B91" w14:textId="77777777" w:rsidTr="008B6090">
        <w:trPr>
          <w:trHeight w:val="70"/>
        </w:trPr>
        <w:tc>
          <w:tcPr>
            <w:tcW w:w="715" w:type="dxa"/>
          </w:tcPr>
          <w:p w14:paraId="00DA3B4C" w14:textId="77777777" w:rsidR="00042E14" w:rsidRPr="003A64F9" w:rsidRDefault="00042E14" w:rsidP="00042E14">
            <w:pPr>
              <w:pStyle w:val="ListParagraph"/>
              <w:numPr>
                <w:ilvl w:val="0"/>
                <w:numId w:val="5"/>
              </w:numPr>
              <w:rPr>
                <w:lang w:val="uk-UA"/>
              </w:rPr>
            </w:pPr>
          </w:p>
        </w:tc>
        <w:tc>
          <w:tcPr>
            <w:tcW w:w="5040" w:type="dxa"/>
          </w:tcPr>
          <w:p w14:paraId="4F2188DB" w14:textId="77777777" w:rsidR="00042E14" w:rsidRPr="002E3C69" w:rsidRDefault="002B3C86" w:rsidP="008B6090">
            <w:r w:rsidRPr="002E3C69">
              <w:t>How many balancing actions were taken (or on how many days balancing actions were taken) by GTSOU in the period under review?</w:t>
            </w:r>
          </w:p>
        </w:tc>
        <w:tc>
          <w:tcPr>
            <w:tcW w:w="3441" w:type="dxa"/>
          </w:tcPr>
          <w:p w14:paraId="548C26E1" w14:textId="77777777" w:rsidR="0046704E" w:rsidRPr="00F865A8" w:rsidRDefault="00124518" w:rsidP="00042E14">
            <w:r>
              <w:t xml:space="preserve">GTSOU actively performed balancing actions (gas selling and purchasing at the trade exchange) during Jan-Feb 2022, after full-scaled </w:t>
            </w:r>
            <w:proofErr w:type="spellStart"/>
            <w:r>
              <w:t>russian</w:t>
            </w:r>
            <w:proofErr w:type="spellEnd"/>
            <w:r>
              <w:t xml:space="preserve"> invasion of Ukraine number of balancing action significantly increased and in average was 10-20 times per month.</w:t>
            </w:r>
          </w:p>
        </w:tc>
      </w:tr>
      <w:tr w:rsidR="00042E14" w:rsidRPr="003A64F9" w14:paraId="14997D91" w14:textId="77777777" w:rsidTr="008B6090">
        <w:trPr>
          <w:trHeight w:val="70"/>
        </w:trPr>
        <w:tc>
          <w:tcPr>
            <w:tcW w:w="715" w:type="dxa"/>
          </w:tcPr>
          <w:p w14:paraId="1A776DBF" w14:textId="77777777" w:rsidR="00042E14" w:rsidRPr="003A64F9" w:rsidRDefault="00042E14" w:rsidP="00042E14">
            <w:pPr>
              <w:pStyle w:val="ListParagraph"/>
              <w:numPr>
                <w:ilvl w:val="0"/>
                <w:numId w:val="5"/>
              </w:numPr>
              <w:rPr>
                <w:lang w:val="uk-UA"/>
              </w:rPr>
            </w:pPr>
          </w:p>
        </w:tc>
        <w:tc>
          <w:tcPr>
            <w:tcW w:w="5040" w:type="dxa"/>
          </w:tcPr>
          <w:p w14:paraId="72BA0A95" w14:textId="77777777" w:rsidR="00042E14" w:rsidRPr="002E3C69" w:rsidRDefault="002B3C86" w:rsidP="006520B7">
            <w:r w:rsidRPr="002E3C69">
              <w:t>How many producers and shippers are active each day?</w:t>
            </w:r>
          </w:p>
        </w:tc>
        <w:tc>
          <w:tcPr>
            <w:tcW w:w="3441" w:type="dxa"/>
          </w:tcPr>
          <w:p w14:paraId="6634D9EE" w14:textId="77777777" w:rsidR="00042E14" w:rsidRPr="003A64F9" w:rsidRDefault="006C2AAA" w:rsidP="00124518">
            <w:r>
              <w:t>Approximately</w:t>
            </w:r>
            <w:r w:rsidR="00F865A8">
              <w:t xml:space="preserve"> 300-350 each </w:t>
            </w:r>
            <w:r w:rsidR="00124518">
              <w:t>day</w:t>
            </w:r>
            <w:r w:rsidR="00F865A8">
              <w:t>.</w:t>
            </w:r>
          </w:p>
        </w:tc>
      </w:tr>
      <w:tr w:rsidR="00042E14" w:rsidRPr="003A64F9" w14:paraId="307C9C65" w14:textId="77777777" w:rsidTr="008B6090">
        <w:trPr>
          <w:trHeight w:val="70"/>
        </w:trPr>
        <w:tc>
          <w:tcPr>
            <w:tcW w:w="715" w:type="dxa"/>
          </w:tcPr>
          <w:p w14:paraId="5F72F20D" w14:textId="77777777" w:rsidR="00042E14" w:rsidRPr="003A64F9" w:rsidRDefault="00042E14" w:rsidP="00042E14">
            <w:pPr>
              <w:pStyle w:val="ListParagraph"/>
              <w:numPr>
                <w:ilvl w:val="0"/>
                <w:numId w:val="5"/>
              </w:numPr>
              <w:rPr>
                <w:lang w:val="uk-UA"/>
              </w:rPr>
            </w:pPr>
          </w:p>
        </w:tc>
        <w:tc>
          <w:tcPr>
            <w:tcW w:w="5040" w:type="dxa"/>
          </w:tcPr>
          <w:p w14:paraId="57BCB669" w14:textId="77777777" w:rsidR="00042E14" w:rsidRPr="002E3C69" w:rsidRDefault="002B3C86" w:rsidP="00607956">
            <w:r w:rsidRPr="002E3C69">
              <w:t>Are the English translations of the decrees mentioned in Attachment A, Section 3, Task 1 on page 10 of the RFP publicly available? If so, where can they be found?</w:t>
            </w:r>
          </w:p>
        </w:tc>
        <w:tc>
          <w:tcPr>
            <w:tcW w:w="3441" w:type="dxa"/>
          </w:tcPr>
          <w:p w14:paraId="7DAEC43D" w14:textId="77777777" w:rsidR="0046704E" w:rsidRDefault="005C685D" w:rsidP="005C685D">
            <w:r w:rsidRPr="005C685D">
              <w:t xml:space="preserve">The decrees mentioned in Attachment A, Section 3, Task 1 are available only in </w:t>
            </w:r>
            <w:r>
              <w:t>Ukrainian.</w:t>
            </w:r>
          </w:p>
          <w:p w14:paraId="34AB6028" w14:textId="77777777" w:rsidR="005C685D" w:rsidRDefault="005C685D" w:rsidP="005C685D"/>
          <w:p w14:paraId="2D94AC15" w14:textId="2C13CF5A" w:rsidR="005C685D" w:rsidRPr="000B2520" w:rsidRDefault="005C685D" w:rsidP="005C685D">
            <w:pPr>
              <w:rPr>
                <w:color w:val="000000" w:themeColor="text1"/>
              </w:rPr>
            </w:pPr>
            <w:r w:rsidRPr="000B2520">
              <w:rPr>
                <w:color w:val="000000" w:themeColor="text1"/>
              </w:rPr>
              <w:t>ESP</w:t>
            </w:r>
            <w:r w:rsidR="00124518" w:rsidRPr="000B2520">
              <w:rPr>
                <w:color w:val="000000" w:themeColor="text1"/>
              </w:rPr>
              <w:t xml:space="preserve"> </w:t>
            </w:r>
            <w:r w:rsidR="000B2520" w:rsidRPr="000B2520">
              <w:rPr>
                <w:color w:val="000000" w:themeColor="text1"/>
              </w:rPr>
              <w:t>can</w:t>
            </w:r>
            <w:r w:rsidRPr="000B2520">
              <w:rPr>
                <w:color w:val="000000" w:themeColor="text1"/>
              </w:rPr>
              <w:t xml:space="preserve"> provide translation</w:t>
            </w:r>
            <w:r w:rsidR="000B2520" w:rsidRPr="000B2520">
              <w:rPr>
                <w:color w:val="000000" w:themeColor="text1"/>
              </w:rPr>
              <w:t xml:space="preserve">. </w:t>
            </w:r>
          </w:p>
          <w:p w14:paraId="3B9A7B65" w14:textId="77777777" w:rsidR="005C685D" w:rsidRPr="003A64F9" w:rsidRDefault="005C685D" w:rsidP="005C685D"/>
        </w:tc>
      </w:tr>
      <w:tr w:rsidR="00042E14" w:rsidRPr="003A64F9" w14:paraId="19362032" w14:textId="77777777" w:rsidTr="008B6090">
        <w:trPr>
          <w:trHeight w:val="70"/>
        </w:trPr>
        <w:tc>
          <w:tcPr>
            <w:tcW w:w="715" w:type="dxa"/>
          </w:tcPr>
          <w:p w14:paraId="3788AC34" w14:textId="77777777" w:rsidR="00042E14" w:rsidRPr="003A64F9" w:rsidRDefault="00042E14" w:rsidP="00042E14">
            <w:pPr>
              <w:pStyle w:val="ListParagraph"/>
              <w:numPr>
                <w:ilvl w:val="0"/>
                <w:numId w:val="5"/>
              </w:numPr>
              <w:rPr>
                <w:lang w:val="uk-UA"/>
              </w:rPr>
            </w:pPr>
          </w:p>
        </w:tc>
        <w:tc>
          <w:tcPr>
            <w:tcW w:w="5040" w:type="dxa"/>
          </w:tcPr>
          <w:p w14:paraId="114314BF" w14:textId="77777777" w:rsidR="00042E14" w:rsidRPr="002E3C69" w:rsidRDefault="002B3C86" w:rsidP="00F94B08">
            <w:r w:rsidRPr="002E3C69">
              <w:t>How flexible are the due dates in Attachment A, Section 4? There seems to be considerable analytical work and potentially interviews to be arranged in Task 1 which may take more time than 1 month.</w:t>
            </w:r>
          </w:p>
        </w:tc>
        <w:tc>
          <w:tcPr>
            <w:tcW w:w="3441" w:type="dxa"/>
          </w:tcPr>
          <w:p w14:paraId="557F8C4C" w14:textId="77777777" w:rsidR="002F1114" w:rsidRPr="005C685D" w:rsidRDefault="005C685D" w:rsidP="005C685D">
            <w:r w:rsidRPr="005C685D">
              <w:t xml:space="preserve">Insignificant deviations from due dates are acceptable </w:t>
            </w:r>
          </w:p>
        </w:tc>
      </w:tr>
      <w:tr w:rsidR="005A2FBF" w:rsidRPr="005943D2" w14:paraId="7E2811CA" w14:textId="77777777" w:rsidTr="008B6090">
        <w:trPr>
          <w:trHeight w:val="70"/>
        </w:trPr>
        <w:tc>
          <w:tcPr>
            <w:tcW w:w="715" w:type="dxa"/>
          </w:tcPr>
          <w:p w14:paraId="4C7DD6CF" w14:textId="77777777" w:rsidR="005A2FBF" w:rsidRPr="003A64F9" w:rsidRDefault="005A2FBF" w:rsidP="00042E14">
            <w:pPr>
              <w:pStyle w:val="ListParagraph"/>
              <w:numPr>
                <w:ilvl w:val="0"/>
                <w:numId w:val="5"/>
              </w:numPr>
              <w:rPr>
                <w:lang w:val="uk-UA"/>
              </w:rPr>
            </w:pPr>
          </w:p>
        </w:tc>
        <w:tc>
          <w:tcPr>
            <w:tcW w:w="5040" w:type="dxa"/>
          </w:tcPr>
          <w:p w14:paraId="12A6A954" w14:textId="77777777" w:rsidR="005A2FBF" w:rsidRPr="002E3C69" w:rsidRDefault="002B3C86" w:rsidP="00042E14">
            <w:r w:rsidRPr="002E3C69">
              <w:t>As we are providing advice and services, do we need to complete parts 3 and 4 of Attachment C?</w:t>
            </w:r>
          </w:p>
        </w:tc>
        <w:tc>
          <w:tcPr>
            <w:tcW w:w="3441" w:type="dxa"/>
          </w:tcPr>
          <w:p w14:paraId="1EBAC519" w14:textId="6229540D" w:rsidR="005A2FBF" w:rsidRPr="001176F4" w:rsidRDefault="00C47E55" w:rsidP="00042E14">
            <w:pPr>
              <w:rPr>
                <w:lang w:val="uk-UA"/>
              </w:rPr>
            </w:pPr>
            <w:r w:rsidRPr="00C47E55">
              <w:t>You don’t need to complete</w:t>
            </w:r>
            <w:r>
              <w:t xml:space="preserve"> </w:t>
            </w:r>
            <w:r w:rsidRPr="00C47E55">
              <w:t>parts 3 and 4 of Attachment C</w:t>
            </w:r>
            <w:r w:rsidRPr="00C47E55">
              <w:t xml:space="preserve"> for legal services</w:t>
            </w:r>
          </w:p>
        </w:tc>
      </w:tr>
      <w:tr w:rsidR="00F94B08" w:rsidRPr="005943D2" w14:paraId="452D978E" w14:textId="77777777" w:rsidTr="008B6090">
        <w:trPr>
          <w:trHeight w:val="70"/>
        </w:trPr>
        <w:tc>
          <w:tcPr>
            <w:tcW w:w="715" w:type="dxa"/>
          </w:tcPr>
          <w:p w14:paraId="623F7E0C" w14:textId="77777777" w:rsidR="00F94B08" w:rsidRPr="003A64F9" w:rsidRDefault="00F94B08" w:rsidP="00042E14">
            <w:pPr>
              <w:pStyle w:val="ListParagraph"/>
              <w:numPr>
                <w:ilvl w:val="0"/>
                <w:numId w:val="5"/>
              </w:numPr>
              <w:rPr>
                <w:lang w:val="uk-UA"/>
              </w:rPr>
            </w:pPr>
          </w:p>
        </w:tc>
        <w:tc>
          <w:tcPr>
            <w:tcW w:w="5040" w:type="dxa"/>
          </w:tcPr>
          <w:p w14:paraId="38D38261" w14:textId="77777777" w:rsidR="00F94B08" w:rsidRPr="002E3C69" w:rsidRDefault="002B3C86" w:rsidP="00042E14">
            <w:r w:rsidRPr="002E3C69">
              <w:t>Is there any concrete definition of what constitutes an abuse/quasi- breaches/breaches within the Ukrainian regulatory acts?</w:t>
            </w:r>
          </w:p>
        </w:tc>
        <w:tc>
          <w:tcPr>
            <w:tcW w:w="3441" w:type="dxa"/>
          </w:tcPr>
          <w:p w14:paraId="253D8BEC" w14:textId="77777777" w:rsidR="00F94B08" w:rsidRPr="005C685D" w:rsidRDefault="005C685D" w:rsidP="00042E14">
            <w:r w:rsidRPr="005C685D">
              <w:t>No, it is not defined in legislation</w:t>
            </w:r>
          </w:p>
        </w:tc>
      </w:tr>
      <w:tr w:rsidR="00D93A35" w:rsidRPr="005943D2" w14:paraId="15DEEEF6" w14:textId="77777777" w:rsidTr="008B6090">
        <w:trPr>
          <w:trHeight w:val="70"/>
        </w:trPr>
        <w:tc>
          <w:tcPr>
            <w:tcW w:w="715" w:type="dxa"/>
          </w:tcPr>
          <w:p w14:paraId="011BEC9F" w14:textId="77777777" w:rsidR="00D93A35" w:rsidRPr="003A64F9" w:rsidRDefault="00D93A35" w:rsidP="00042E14">
            <w:pPr>
              <w:pStyle w:val="ListParagraph"/>
              <w:numPr>
                <w:ilvl w:val="0"/>
                <w:numId w:val="5"/>
              </w:numPr>
              <w:rPr>
                <w:lang w:val="uk-UA"/>
              </w:rPr>
            </w:pPr>
          </w:p>
        </w:tc>
        <w:tc>
          <w:tcPr>
            <w:tcW w:w="5040" w:type="dxa"/>
          </w:tcPr>
          <w:p w14:paraId="27512E8F" w14:textId="77777777" w:rsidR="00D93A35" w:rsidRPr="002E3C69" w:rsidRDefault="00FC0A40" w:rsidP="00042E14">
            <w:r w:rsidRPr="002E3C69">
              <w:t>What sort of information is regarded as "projection data" in Task 4? If it is projection data related to non-daily metered offtakes, could you describe the sort of consumers and provide an estimate of the percentage of gas consumption that falls into this category? What is the metering frequency established for these offtakes? Additionally, please clarify if the projection data is provided by GTSOU to the shippers and DSOs or by the shippers and DSOs to GTSOU?</w:t>
            </w:r>
          </w:p>
        </w:tc>
        <w:tc>
          <w:tcPr>
            <w:tcW w:w="3441" w:type="dxa"/>
          </w:tcPr>
          <w:p w14:paraId="7073F086" w14:textId="77777777" w:rsidR="00D93A35" w:rsidRDefault="00316986" w:rsidP="00042E14">
            <w:r w:rsidRPr="002E3C69">
              <w:t>"</w:t>
            </w:r>
            <w:proofErr w:type="gramStart"/>
            <w:r w:rsidRPr="002E3C69">
              <w:t>projection</w:t>
            </w:r>
            <w:proofErr w:type="gramEnd"/>
            <w:r w:rsidRPr="002E3C69">
              <w:t xml:space="preserve"> data"</w:t>
            </w:r>
            <w:r>
              <w:t xml:space="preserve"> = “forecast”</w:t>
            </w:r>
          </w:p>
          <w:p w14:paraId="2ADF4273" w14:textId="77777777" w:rsidR="00316986" w:rsidRDefault="00316986" w:rsidP="00316986"/>
          <w:p w14:paraId="5204F817" w14:textId="77777777" w:rsidR="00316986" w:rsidRDefault="00316986" w:rsidP="00316986">
            <w:r>
              <w:t xml:space="preserve">NC BAL </w:t>
            </w:r>
            <w:r w:rsidRPr="00316986">
              <w:t>base model</w:t>
            </w:r>
            <w:r>
              <w:t xml:space="preserve"> was implemented in GTS Code.</w:t>
            </w:r>
          </w:p>
          <w:p w14:paraId="23AE5AAE" w14:textId="77777777" w:rsidR="00316986" w:rsidRPr="00316986" w:rsidRDefault="00316986" w:rsidP="00316986">
            <w:pPr>
              <w:shd w:val="clear" w:color="auto" w:fill="FFFFFF"/>
              <w:spacing w:before="120" w:line="312" w:lineRule="atLeast"/>
              <w:jc w:val="both"/>
            </w:pPr>
            <w:r w:rsidRPr="00316986">
              <w:t>Where the information model base case is applied:</w:t>
            </w:r>
          </w:p>
          <w:tbl>
            <w:tblPr>
              <w:tblW w:w="5000" w:type="pct"/>
              <w:shd w:val="clear" w:color="auto" w:fill="FFFFFF"/>
              <w:tblCellMar>
                <w:left w:w="0" w:type="dxa"/>
                <w:right w:w="0" w:type="dxa"/>
              </w:tblCellMar>
              <w:tblLook w:val="04A0" w:firstRow="1" w:lastRow="0" w:firstColumn="1" w:lastColumn="0" w:noHBand="0" w:noVBand="1"/>
            </w:tblPr>
            <w:tblGrid>
              <w:gridCol w:w="250"/>
              <w:gridCol w:w="4397"/>
            </w:tblGrid>
            <w:tr w:rsidR="00316986" w:rsidRPr="00316986" w14:paraId="113676FA" w14:textId="77777777" w:rsidTr="00316986">
              <w:tc>
                <w:tcPr>
                  <w:tcW w:w="0" w:type="auto"/>
                  <w:shd w:val="clear" w:color="auto" w:fill="FFFFFF"/>
                  <w:hideMark/>
                </w:tcPr>
                <w:p w14:paraId="72D99442" w14:textId="77777777" w:rsidR="00316986" w:rsidRPr="00316986" w:rsidRDefault="00316986" w:rsidP="00316986">
                  <w:pPr>
                    <w:spacing w:before="120" w:after="0" w:line="312" w:lineRule="atLeast"/>
                    <w:jc w:val="both"/>
                  </w:pPr>
                  <w:r w:rsidRPr="00316986">
                    <w:t>(a)</w:t>
                  </w:r>
                </w:p>
              </w:tc>
              <w:tc>
                <w:tcPr>
                  <w:tcW w:w="0" w:type="auto"/>
                  <w:shd w:val="clear" w:color="auto" w:fill="FFFFFF"/>
                  <w:hideMark/>
                </w:tcPr>
                <w:p w14:paraId="20199A05" w14:textId="77777777" w:rsidR="00316986" w:rsidRPr="00316986" w:rsidRDefault="00316986" w:rsidP="00316986">
                  <w:pPr>
                    <w:spacing w:before="120" w:after="0" w:line="312" w:lineRule="atLeast"/>
                    <w:jc w:val="both"/>
                  </w:pPr>
                  <w:r w:rsidRPr="00316986">
                    <w:t xml:space="preserve">on gas day D-1, the transmission system operator shall provide network users with a forecast of their </w:t>
                  </w:r>
                  <w:proofErr w:type="spellStart"/>
                  <w:proofErr w:type="gramStart"/>
                  <w:r w:rsidRPr="00316986">
                    <w:t>non daily</w:t>
                  </w:r>
                  <w:proofErr w:type="spellEnd"/>
                  <w:proofErr w:type="gramEnd"/>
                  <w:r w:rsidRPr="00316986">
                    <w:t xml:space="preserve"> metered off-takes for gas day D no later than 12:00 UTC (winter time) or 11:00 UTC (daylight saving);</w:t>
                  </w:r>
                </w:p>
              </w:tc>
            </w:tr>
            <w:tr w:rsidR="00316986" w:rsidRPr="00316986" w14:paraId="368ABDFE" w14:textId="77777777" w:rsidTr="00316986">
              <w:tc>
                <w:tcPr>
                  <w:tcW w:w="0" w:type="auto"/>
                  <w:shd w:val="clear" w:color="auto" w:fill="FFFFFF"/>
                  <w:hideMark/>
                </w:tcPr>
                <w:p w14:paraId="717F2165" w14:textId="77777777" w:rsidR="00316986" w:rsidRPr="00316986" w:rsidRDefault="00316986" w:rsidP="00316986">
                  <w:pPr>
                    <w:spacing w:before="120" w:after="0" w:line="312" w:lineRule="atLeast"/>
                    <w:jc w:val="both"/>
                  </w:pPr>
                  <w:r w:rsidRPr="00316986">
                    <w:t>(b)</w:t>
                  </w:r>
                </w:p>
              </w:tc>
              <w:tc>
                <w:tcPr>
                  <w:tcW w:w="0" w:type="auto"/>
                  <w:shd w:val="clear" w:color="auto" w:fill="FFFFFF"/>
                  <w:hideMark/>
                </w:tcPr>
                <w:p w14:paraId="353111F5" w14:textId="77777777" w:rsidR="00316986" w:rsidRPr="00316986" w:rsidRDefault="00316986" w:rsidP="00316986">
                  <w:pPr>
                    <w:spacing w:before="120" w:after="0" w:line="312" w:lineRule="atLeast"/>
                    <w:jc w:val="both"/>
                  </w:pPr>
                  <w:r w:rsidRPr="00316986">
                    <w:t xml:space="preserve">on gas day D, the transmission system operator shall provide network users with a minimum of two updates of the forecast of their </w:t>
                  </w:r>
                  <w:proofErr w:type="spellStart"/>
                  <w:proofErr w:type="gramStart"/>
                  <w:r w:rsidRPr="00316986">
                    <w:t>non daily</w:t>
                  </w:r>
                  <w:proofErr w:type="spellEnd"/>
                  <w:proofErr w:type="gramEnd"/>
                  <w:r w:rsidRPr="00316986">
                    <w:t xml:space="preserve"> metered off-takes.</w:t>
                  </w:r>
                </w:p>
              </w:tc>
            </w:tr>
            <w:tr w:rsidR="00316986" w:rsidRPr="00316986" w14:paraId="71037297" w14:textId="77777777" w:rsidTr="00316986">
              <w:tc>
                <w:tcPr>
                  <w:tcW w:w="0" w:type="auto"/>
                  <w:shd w:val="clear" w:color="auto" w:fill="FFFFFF"/>
                </w:tcPr>
                <w:p w14:paraId="03A798E3" w14:textId="77777777" w:rsidR="00316986" w:rsidRPr="00316986" w:rsidRDefault="00316986" w:rsidP="00316986">
                  <w:pPr>
                    <w:spacing w:before="120" w:after="0" w:line="312" w:lineRule="atLeast"/>
                    <w:jc w:val="both"/>
                  </w:pPr>
                </w:p>
              </w:tc>
              <w:tc>
                <w:tcPr>
                  <w:tcW w:w="0" w:type="auto"/>
                  <w:shd w:val="clear" w:color="auto" w:fill="FFFFFF"/>
                </w:tcPr>
                <w:p w14:paraId="4FA0E740" w14:textId="77777777" w:rsidR="00316986" w:rsidRDefault="00316986" w:rsidP="00316986">
                  <w:pPr>
                    <w:spacing w:before="120" w:after="0" w:line="312" w:lineRule="atLeast"/>
                    <w:jc w:val="both"/>
                  </w:pPr>
                  <w:r>
                    <w:t xml:space="preserve"> </w:t>
                  </w:r>
                  <w:r w:rsidR="006005B2">
                    <w:t xml:space="preserve">Each DSO is responsible for forecasting and provision of the forecasts to GTSO. </w:t>
                  </w:r>
                </w:p>
                <w:p w14:paraId="6AD45139" w14:textId="77777777" w:rsidR="006005B2" w:rsidRPr="006005B2" w:rsidRDefault="006005B2" w:rsidP="00316986">
                  <w:pPr>
                    <w:spacing w:before="120" w:after="0" w:line="312" w:lineRule="atLeast"/>
                    <w:jc w:val="both"/>
                  </w:pPr>
                  <w:r>
                    <w:t xml:space="preserve">Most of the gas consumption is non-daily metered. These are households, small and middle business. </w:t>
                  </w:r>
                </w:p>
                <w:p w14:paraId="6E3CE2C7" w14:textId="77777777" w:rsidR="00316986" w:rsidRDefault="00316986" w:rsidP="00316986">
                  <w:pPr>
                    <w:spacing w:before="120" w:after="0" w:line="312" w:lineRule="atLeast"/>
                    <w:jc w:val="both"/>
                  </w:pPr>
                </w:p>
                <w:p w14:paraId="30D4DBDD" w14:textId="77777777" w:rsidR="00316986" w:rsidRPr="00316986" w:rsidRDefault="00316986" w:rsidP="00316986">
                  <w:pPr>
                    <w:spacing w:before="120" w:after="0" w:line="312" w:lineRule="atLeast"/>
                    <w:jc w:val="both"/>
                  </w:pPr>
                </w:p>
              </w:tc>
            </w:tr>
          </w:tbl>
          <w:p w14:paraId="2C500BBC" w14:textId="77777777" w:rsidR="00316986" w:rsidRPr="00316986" w:rsidRDefault="00316986" w:rsidP="00316986"/>
        </w:tc>
      </w:tr>
      <w:tr w:rsidR="00D93A35" w:rsidRPr="005943D2" w14:paraId="0A5F900E" w14:textId="77777777" w:rsidTr="008B6090">
        <w:trPr>
          <w:trHeight w:val="70"/>
        </w:trPr>
        <w:tc>
          <w:tcPr>
            <w:tcW w:w="715" w:type="dxa"/>
          </w:tcPr>
          <w:p w14:paraId="248207AB" w14:textId="77777777" w:rsidR="00D93A35" w:rsidRPr="003A64F9" w:rsidRDefault="00D93A35" w:rsidP="00042E14">
            <w:pPr>
              <w:pStyle w:val="ListParagraph"/>
              <w:numPr>
                <w:ilvl w:val="0"/>
                <w:numId w:val="5"/>
              </w:numPr>
              <w:rPr>
                <w:lang w:val="uk-UA"/>
              </w:rPr>
            </w:pPr>
          </w:p>
        </w:tc>
        <w:tc>
          <w:tcPr>
            <w:tcW w:w="5040" w:type="dxa"/>
          </w:tcPr>
          <w:p w14:paraId="2B6CFCB8" w14:textId="77777777" w:rsidR="00D93A35" w:rsidRPr="002E3C69" w:rsidRDefault="00FC0A40" w:rsidP="00042E14">
            <w:r w:rsidRPr="002E3C69">
              <w:t xml:space="preserve">In what format will the data be provided? Could you provide us a rough indication on the number of records to be </w:t>
            </w:r>
            <w:proofErr w:type="spellStart"/>
            <w:r w:rsidRPr="002E3C69">
              <w:t>analysed</w:t>
            </w:r>
            <w:proofErr w:type="spellEnd"/>
            <w:r w:rsidRPr="002E3C69">
              <w:t xml:space="preserve"> per day?</w:t>
            </w:r>
          </w:p>
        </w:tc>
        <w:tc>
          <w:tcPr>
            <w:tcW w:w="3441" w:type="dxa"/>
          </w:tcPr>
          <w:p w14:paraId="0F27F145" w14:textId="77777777" w:rsidR="00D93A35" w:rsidRPr="002B157B" w:rsidRDefault="00316986" w:rsidP="00042E14">
            <w:r>
              <w:t>Date will be provided in Word or</w:t>
            </w:r>
            <w:r w:rsidR="002B157B">
              <w:t xml:space="preserve"> Excel format</w:t>
            </w:r>
          </w:p>
        </w:tc>
      </w:tr>
      <w:tr w:rsidR="00D93A35" w:rsidRPr="005943D2" w14:paraId="3663D348" w14:textId="77777777" w:rsidTr="008B6090">
        <w:trPr>
          <w:trHeight w:val="70"/>
        </w:trPr>
        <w:tc>
          <w:tcPr>
            <w:tcW w:w="715" w:type="dxa"/>
          </w:tcPr>
          <w:p w14:paraId="0F260E1B" w14:textId="77777777" w:rsidR="00D93A35" w:rsidRPr="003A64F9" w:rsidRDefault="00D93A35" w:rsidP="00042E14">
            <w:pPr>
              <w:pStyle w:val="ListParagraph"/>
              <w:numPr>
                <w:ilvl w:val="0"/>
                <w:numId w:val="5"/>
              </w:numPr>
              <w:rPr>
                <w:lang w:val="uk-UA"/>
              </w:rPr>
            </w:pPr>
          </w:p>
        </w:tc>
        <w:tc>
          <w:tcPr>
            <w:tcW w:w="5040" w:type="dxa"/>
          </w:tcPr>
          <w:p w14:paraId="41F7CAF2" w14:textId="77777777" w:rsidR="00D93A35" w:rsidRPr="002E3C69" w:rsidRDefault="00FC0A40" w:rsidP="00042E14">
            <w:r w:rsidRPr="002E3C69">
              <w:t>Could you please clarify which companies/organizations will be the beneficiaries of the Deliverables as outlined in the Scope of Work?</w:t>
            </w:r>
          </w:p>
        </w:tc>
        <w:tc>
          <w:tcPr>
            <w:tcW w:w="3441" w:type="dxa"/>
          </w:tcPr>
          <w:p w14:paraId="5A317509" w14:textId="77777777" w:rsidR="00D93A35" w:rsidRPr="0059761A" w:rsidRDefault="005C685D" w:rsidP="00042E14">
            <w:pPr>
              <w:rPr>
                <w:lang w:val="uk-UA"/>
              </w:rPr>
            </w:pPr>
            <w:r>
              <w:t>GTSOU</w:t>
            </w:r>
            <w:r w:rsidR="0059761A">
              <w:t xml:space="preserve"> is the main beneficiary, on the discretion of GTSOU part of deliverables could be shared with </w:t>
            </w:r>
            <w:proofErr w:type="spellStart"/>
            <w:r w:rsidR="0059761A">
              <w:t>Minen</w:t>
            </w:r>
            <w:r w:rsidR="006C2AAA">
              <w:t>ergy</w:t>
            </w:r>
            <w:proofErr w:type="spellEnd"/>
            <w:r w:rsidR="006C2AAA">
              <w:t>, NEURC, Naft</w:t>
            </w:r>
            <w:r w:rsidR="0059761A">
              <w:t xml:space="preserve">ogaz of Ukraine and DSOs </w:t>
            </w:r>
          </w:p>
        </w:tc>
      </w:tr>
      <w:tr w:rsidR="00D93A35" w:rsidRPr="005943D2" w14:paraId="1D22FC02" w14:textId="77777777" w:rsidTr="008B6090">
        <w:trPr>
          <w:trHeight w:val="70"/>
        </w:trPr>
        <w:tc>
          <w:tcPr>
            <w:tcW w:w="715" w:type="dxa"/>
          </w:tcPr>
          <w:p w14:paraId="2EAD320C" w14:textId="77777777" w:rsidR="00D93A35" w:rsidRPr="003A64F9" w:rsidRDefault="00D93A35" w:rsidP="00042E14">
            <w:pPr>
              <w:pStyle w:val="ListParagraph"/>
              <w:numPr>
                <w:ilvl w:val="0"/>
                <w:numId w:val="5"/>
              </w:numPr>
              <w:rPr>
                <w:lang w:val="uk-UA"/>
              </w:rPr>
            </w:pPr>
          </w:p>
        </w:tc>
        <w:tc>
          <w:tcPr>
            <w:tcW w:w="5040" w:type="dxa"/>
          </w:tcPr>
          <w:p w14:paraId="4565B560" w14:textId="77777777" w:rsidR="00D93A35" w:rsidRPr="002E3C69" w:rsidRDefault="00FC0A40" w:rsidP="00042E14">
            <w:r w:rsidRPr="002E3C69">
              <w:t xml:space="preserve">Could you kindly confirm if prior consent or obligation exists for the following gas market participants to furnish all necessary information/data in the format requested by the Contractor or participate in interviews when requested: TSO, DSOs (please specify any consenting DSO), Shippers and PSO suppliers (including Naftogaz of Ukraine and its subsidiaries, and other </w:t>
            </w:r>
            <w:r w:rsidRPr="002E3C69">
              <w:lastRenderedPageBreak/>
              <w:t>shippers), the Regulator, UEEX, CMU, and any other participants, if applicable?</w:t>
            </w:r>
          </w:p>
        </w:tc>
        <w:tc>
          <w:tcPr>
            <w:tcW w:w="3441" w:type="dxa"/>
          </w:tcPr>
          <w:p w14:paraId="69EBF47F" w14:textId="77777777" w:rsidR="00D93A35" w:rsidRDefault="002751BE" w:rsidP="00042E14">
            <w:r>
              <w:lastRenderedPageBreak/>
              <w:t>GTSOU</w:t>
            </w:r>
            <w:r w:rsidR="002B157B">
              <w:t xml:space="preserve"> agreed to provide all necessary information. </w:t>
            </w:r>
          </w:p>
          <w:p w14:paraId="1C0F9710" w14:textId="77777777" w:rsidR="002751BE" w:rsidRPr="002B157B" w:rsidRDefault="002751BE" w:rsidP="002751BE">
            <w:r w:rsidRPr="0093303D">
              <w:t xml:space="preserve">ESP and GTSOU may assist with communication with </w:t>
            </w:r>
            <w:r>
              <w:t>other parties</w:t>
            </w:r>
            <w:r w:rsidRPr="0093303D">
              <w:t>.</w:t>
            </w:r>
          </w:p>
        </w:tc>
      </w:tr>
      <w:tr w:rsidR="00D93A35" w:rsidRPr="004674F9" w14:paraId="431E2C1E" w14:textId="77777777" w:rsidTr="008B6090">
        <w:trPr>
          <w:trHeight w:val="70"/>
        </w:trPr>
        <w:tc>
          <w:tcPr>
            <w:tcW w:w="715" w:type="dxa"/>
          </w:tcPr>
          <w:p w14:paraId="622A9F3B" w14:textId="77777777" w:rsidR="00D93A35" w:rsidRPr="003A64F9" w:rsidRDefault="00D93A35" w:rsidP="00042E14">
            <w:pPr>
              <w:pStyle w:val="ListParagraph"/>
              <w:numPr>
                <w:ilvl w:val="0"/>
                <w:numId w:val="5"/>
              </w:numPr>
              <w:rPr>
                <w:lang w:val="uk-UA"/>
              </w:rPr>
            </w:pPr>
          </w:p>
        </w:tc>
        <w:tc>
          <w:tcPr>
            <w:tcW w:w="5040" w:type="dxa"/>
          </w:tcPr>
          <w:p w14:paraId="182B97B7" w14:textId="77777777" w:rsidR="00D93A35" w:rsidRPr="002E3C69" w:rsidRDefault="00FC0A40" w:rsidP="00042E14">
            <w:r w:rsidRPr="002E3C69">
              <w:t>Is there any agreement with Naftogaz of Ukraine or its subsidiaries concerning the provision of detailed information on the breakdown of nominations/renominations by consumers? In case such an agreement is not in place, could you please confirm if analysis of different customer categories is expected and how the database is expected to be acquired?</w:t>
            </w:r>
          </w:p>
        </w:tc>
        <w:tc>
          <w:tcPr>
            <w:tcW w:w="3441" w:type="dxa"/>
          </w:tcPr>
          <w:p w14:paraId="5B6815EE" w14:textId="77777777" w:rsidR="00D93A35" w:rsidRPr="004674F9" w:rsidRDefault="00316986" w:rsidP="00042E14">
            <w:r w:rsidRPr="002E3C69">
              <w:t>Analysis of different customer categories is expected</w:t>
            </w:r>
          </w:p>
        </w:tc>
      </w:tr>
      <w:tr w:rsidR="00D93A35" w:rsidRPr="005943D2" w14:paraId="703F4C23" w14:textId="77777777" w:rsidTr="008B6090">
        <w:trPr>
          <w:trHeight w:val="70"/>
        </w:trPr>
        <w:tc>
          <w:tcPr>
            <w:tcW w:w="715" w:type="dxa"/>
          </w:tcPr>
          <w:p w14:paraId="778F60DF" w14:textId="77777777" w:rsidR="00D93A35" w:rsidRPr="003A64F9" w:rsidRDefault="00D93A35" w:rsidP="00042E14">
            <w:pPr>
              <w:pStyle w:val="ListParagraph"/>
              <w:numPr>
                <w:ilvl w:val="0"/>
                <w:numId w:val="5"/>
              </w:numPr>
              <w:rPr>
                <w:lang w:val="uk-UA"/>
              </w:rPr>
            </w:pPr>
          </w:p>
        </w:tc>
        <w:tc>
          <w:tcPr>
            <w:tcW w:w="5040" w:type="dxa"/>
          </w:tcPr>
          <w:p w14:paraId="52845361" w14:textId="77777777" w:rsidR="00D93A35" w:rsidRPr="002E3C69" w:rsidRDefault="00FC0A40" w:rsidP="00042E14">
            <w:r w:rsidRPr="002E3C69">
              <w:t>Is it expected that the Deliverables will be agreed by any market participants or other entities?</w:t>
            </w:r>
          </w:p>
        </w:tc>
        <w:tc>
          <w:tcPr>
            <w:tcW w:w="3441" w:type="dxa"/>
          </w:tcPr>
          <w:p w14:paraId="397FA08E" w14:textId="77777777" w:rsidR="00D93A35" w:rsidRPr="0059761A" w:rsidRDefault="0059761A" w:rsidP="00042E14">
            <w:r>
              <w:t>Deliverables should be agreed by project beneficiary and ESP</w:t>
            </w:r>
          </w:p>
        </w:tc>
      </w:tr>
      <w:tr w:rsidR="002B3C86" w:rsidRPr="005943D2" w14:paraId="758A4B57" w14:textId="77777777" w:rsidTr="008B6090">
        <w:trPr>
          <w:trHeight w:val="70"/>
        </w:trPr>
        <w:tc>
          <w:tcPr>
            <w:tcW w:w="715" w:type="dxa"/>
          </w:tcPr>
          <w:p w14:paraId="4758D1C7" w14:textId="77777777" w:rsidR="002B3C86" w:rsidRPr="003A64F9" w:rsidRDefault="002B3C86" w:rsidP="00042E14">
            <w:pPr>
              <w:pStyle w:val="ListParagraph"/>
              <w:numPr>
                <w:ilvl w:val="0"/>
                <w:numId w:val="5"/>
              </w:numPr>
              <w:rPr>
                <w:lang w:val="uk-UA"/>
              </w:rPr>
            </w:pPr>
          </w:p>
        </w:tc>
        <w:tc>
          <w:tcPr>
            <w:tcW w:w="5040" w:type="dxa"/>
          </w:tcPr>
          <w:p w14:paraId="35748AE6" w14:textId="77777777" w:rsidR="002B3C86" w:rsidRPr="002E3C69" w:rsidRDefault="00FC0A40" w:rsidP="00042E14">
            <w:r w:rsidRPr="002E3C69">
              <w:t>Task 3 of the Scope of Work envisages analysis of accounting and financial reporting, which, as we understand, includes accounting policy (rules) of the GTSOU. This may lead to a situation where the selected offeror would be questioning the IFRS accounting policy and financial statements in the process of approval by GTSOU's auditors. Do we understand it correctly that the focus of this task should be only on internal management accounting policy, which would not lead to challenging of the IFRS accounting policy and audit results for years 2021-2022? Are we allowed to add limitation to the Proposal for this part of SoW considering abovementioned?</w:t>
            </w:r>
          </w:p>
        </w:tc>
        <w:tc>
          <w:tcPr>
            <w:tcW w:w="3441" w:type="dxa"/>
          </w:tcPr>
          <w:p w14:paraId="53015798" w14:textId="77777777" w:rsidR="002B3C86" w:rsidRPr="002751BE" w:rsidRDefault="00336256" w:rsidP="00336256">
            <w:proofErr w:type="spellStart"/>
            <w:r>
              <w:t>It ’s</w:t>
            </w:r>
            <w:proofErr w:type="spellEnd"/>
            <w:r>
              <w:t xml:space="preserve"> not supposed to change the audit results for </w:t>
            </w:r>
            <w:proofErr w:type="gramStart"/>
            <w:r>
              <w:t>years</w:t>
            </w:r>
            <w:proofErr w:type="gramEnd"/>
            <w:r>
              <w:t xml:space="preserve"> 2021-2022 and accounting policy. Analysis and recommendation should be based on EU practice how to account OBA, neutrality charge, results of balancing operations.</w:t>
            </w:r>
            <w:r w:rsidR="002751BE">
              <w:t xml:space="preserve"> </w:t>
            </w:r>
          </w:p>
        </w:tc>
      </w:tr>
      <w:tr w:rsidR="0059761A" w:rsidRPr="005943D2" w14:paraId="4A71D300" w14:textId="77777777" w:rsidTr="008B6090">
        <w:trPr>
          <w:trHeight w:val="70"/>
        </w:trPr>
        <w:tc>
          <w:tcPr>
            <w:tcW w:w="715" w:type="dxa"/>
          </w:tcPr>
          <w:p w14:paraId="557942BD" w14:textId="77777777" w:rsidR="0059761A" w:rsidRPr="003A64F9" w:rsidRDefault="0059761A" w:rsidP="0059761A">
            <w:pPr>
              <w:pStyle w:val="ListParagraph"/>
              <w:numPr>
                <w:ilvl w:val="0"/>
                <w:numId w:val="5"/>
              </w:numPr>
              <w:rPr>
                <w:lang w:val="uk-UA"/>
              </w:rPr>
            </w:pPr>
          </w:p>
        </w:tc>
        <w:tc>
          <w:tcPr>
            <w:tcW w:w="5040" w:type="dxa"/>
          </w:tcPr>
          <w:p w14:paraId="28022980" w14:textId="77777777" w:rsidR="0059761A" w:rsidRPr="002E3C69" w:rsidRDefault="0059761A" w:rsidP="0059761A">
            <w:r w:rsidRPr="002E3C69">
              <w:t>Para.6 of Section 3 (Scope of Work) of Attachment A of the RFP (page 11) provides that ESP is responsible for providing translation and interpretation support. However, it is also stated that all deliverables under this assignment should be produced in both Ukrainian and English. Could you please clarify whether it is the Offeror's responsibility to provide bilingual reports, or ESP will translate deliverables from Ukrainian into English (or vice versa).</w:t>
            </w:r>
          </w:p>
        </w:tc>
        <w:tc>
          <w:tcPr>
            <w:tcW w:w="3441" w:type="dxa"/>
          </w:tcPr>
          <w:p w14:paraId="75FEC8FF" w14:textId="185EF0FC" w:rsidR="0059761A" w:rsidRPr="001176F4" w:rsidRDefault="001176F4" w:rsidP="0059761A">
            <w:r>
              <w:t xml:space="preserve">ESP may </w:t>
            </w:r>
            <w:r w:rsidR="002B617B">
              <w:t xml:space="preserve">provide translation of the deliverables. </w:t>
            </w:r>
          </w:p>
        </w:tc>
      </w:tr>
      <w:tr w:rsidR="0059761A" w:rsidRPr="005943D2" w14:paraId="125B2121" w14:textId="77777777" w:rsidTr="008B6090">
        <w:trPr>
          <w:trHeight w:val="70"/>
        </w:trPr>
        <w:tc>
          <w:tcPr>
            <w:tcW w:w="715" w:type="dxa"/>
          </w:tcPr>
          <w:p w14:paraId="0BB8844A" w14:textId="77777777" w:rsidR="0059761A" w:rsidRPr="003A64F9" w:rsidRDefault="0059761A" w:rsidP="0059761A">
            <w:pPr>
              <w:pStyle w:val="ListParagraph"/>
              <w:numPr>
                <w:ilvl w:val="0"/>
                <w:numId w:val="5"/>
              </w:numPr>
              <w:rPr>
                <w:lang w:val="uk-UA"/>
              </w:rPr>
            </w:pPr>
          </w:p>
        </w:tc>
        <w:tc>
          <w:tcPr>
            <w:tcW w:w="5040" w:type="dxa"/>
          </w:tcPr>
          <w:p w14:paraId="40B7C3D4" w14:textId="77777777" w:rsidR="0059761A" w:rsidRPr="002E3C69" w:rsidRDefault="0059761A" w:rsidP="0059761A">
            <w:r w:rsidRPr="002E3C69">
              <w:t xml:space="preserve">As part of task 4, is the selected offeror expected to </w:t>
            </w:r>
            <w:proofErr w:type="gramStart"/>
            <w:r w:rsidRPr="002E3C69">
              <w:t>take into account</w:t>
            </w:r>
            <w:proofErr w:type="gramEnd"/>
            <w:r w:rsidRPr="002E3C69">
              <w:t xml:space="preserve"> potential REMIT implementation in Ukraine?</w:t>
            </w:r>
          </w:p>
        </w:tc>
        <w:tc>
          <w:tcPr>
            <w:tcW w:w="3441" w:type="dxa"/>
          </w:tcPr>
          <w:p w14:paraId="64E077A7" w14:textId="77777777" w:rsidR="0059761A" w:rsidRPr="0059761A" w:rsidRDefault="0059761A" w:rsidP="0059761A">
            <w:r>
              <w:t>No, only GTS and distribution codes</w:t>
            </w:r>
          </w:p>
        </w:tc>
      </w:tr>
      <w:tr w:rsidR="0059761A" w:rsidRPr="005943D2" w14:paraId="17262A82" w14:textId="77777777" w:rsidTr="008B6090">
        <w:trPr>
          <w:trHeight w:val="70"/>
        </w:trPr>
        <w:tc>
          <w:tcPr>
            <w:tcW w:w="715" w:type="dxa"/>
          </w:tcPr>
          <w:p w14:paraId="4D12B233" w14:textId="77777777" w:rsidR="0059761A" w:rsidRPr="003A64F9" w:rsidRDefault="0059761A" w:rsidP="0059761A">
            <w:pPr>
              <w:pStyle w:val="ListParagraph"/>
              <w:numPr>
                <w:ilvl w:val="0"/>
                <w:numId w:val="5"/>
              </w:numPr>
              <w:rPr>
                <w:lang w:val="uk-UA"/>
              </w:rPr>
            </w:pPr>
          </w:p>
        </w:tc>
        <w:tc>
          <w:tcPr>
            <w:tcW w:w="5040" w:type="dxa"/>
          </w:tcPr>
          <w:p w14:paraId="614B25BE" w14:textId="77777777" w:rsidR="0059761A" w:rsidRPr="002E3C69" w:rsidRDefault="0059761A" w:rsidP="0059761A">
            <w:r w:rsidRPr="002E3C69">
              <w:t xml:space="preserve">USAID form 1420, downloadable via the link on page 6 of the RFP (https://www.usaid.gov/sites/default/files/AID1420-17.doc) contains the expiration date of 02/28/2014 in the header of the form. At USAID's </w:t>
            </w:r>
            <w:proofErr w:type="gramStart"/>
            <w:r w:rsidRPr="002E3C69">
              <w:t>web-site</w:t>
            </w:r>
            <w:proofErr w:type="gramEnd"/>
            <w:r w:rsidRPr="002E3C69">
              <w:t>, a more recent template is available with the expiration date of 11/30/2024 (https://www.usaid.gov/forms/aid-1420-17). Which version of the form should the offerors use?</w:t>
            </w:r>
          </w:p>
        </w:tc>
        <w:tc>
          <w:tcPr>
            <w:tcW w:w="3441" w:type="dxa"/>
          </w:tcPr>
          <w:p w14:paraId="1E888E3B" w14:textId="77777777" w:rsidR="00412753" w:rsidRPr="00A2579E" w:rsidRDefault="00412753" w:rsidP="00412753">
            <w:r w:rsidRPr="00A2579E">
              <w:t xml:space="preserve">Please use this clause instead: </w:t>
            </w:r>
          </w:p>
          <w:p w14:paraId="77C52E52" w14:textId="77777777" w:rsidR="00412753" w:rsidRPr="00A2579E" w:rsidRDefault="00412753" w:rsidP="00412753">
            <w:r w:rsidRPr="00A2579E">
              <w:t>For each staff member proposed, the Offeror shall submit a completed and signed USAID 1420 forms.</w:t>
            </w:r>
          </w:p>
          <w:p w14:paraId="1AF3D459" w14:textId="628EE52A" w:rsidR="0059761A" w:rsidRPr="003A64F9" w:rsidRDefault="00412753" w:rsidP="00412753">
            <w:pPr>
              <w:rPr>
                <w:lang w:val="uk-UA"/>
              </w:rPr>
            </w:pPr>
            <w:r w:rsidRPr="00A2579E">
              <w:t>USAID form 1420 can be downloaded here: https://www.usaid.gov/sites/default/files/AID1420-17.doc</w:t>
            </w:r>
          </w:p>
        </w:tc>
      </w:tr>
      <w:tr w:rsidR="0059761A" w:rsidRPr="005943D2" w14:paraId="49F61418" w14:textId="77777777" w:rsidTr="008B6090">
        <w:trPr>
          <w:trHeight w:val="70"/>
        </w:trPr>
        <w:tc>
          <w:tcPr>
            <w:tcW w:w="715" w:type="dxa"/>
          </w:tcPr>
          <w:p w14:paraId="2E397E57" w14:textId="77777777" w:rsidR="0059761A" w:rsidRPr="003A64F9" w:rsidRDefault="0059761A" w:rsidP="0059761A">
            <w:pPr>
              <w:pStyle w:val="ListParagraph"/>
              <w:numPr>
                <w:ilvl w:val="0"/>
                <w:numId w:val="5"/>
              </w:numPr>
              <w:rPr>
                <w:lang w:val="uk-UA"/>
              </w:rPr>
            </w:pPr>
          </w:p>
        </w:tc>
        <w:tc>
          <w:tcPr>
            <w:tcW w:w="5040" w:type="dxa"/>
          </w:tcPr>
          <w:p w14:paraId="6EB0A386" w14:textId="77777777" w:rsidR="0059761A" w:rsidRPr="002E3C69" w:rsidRDefault="0059761A" w:rsidP="0059761A">
            <w:r w:rsidRPr="002E3C69">
              <w:t xml:space="preserve">Ukrainian companies need to provide a recent extract from the State Registry issued at least 3-5 days prior to the proposal due date. Does it mean </w:t>
            </w:r>
            <w:r w:rsidRPr="002E3C69">
              <w:lastRenderedPageBreak/>
              <w:t xml:space="preserve">that it should be issued 3-5 days or less prior to the proposal due </w:t>
            </w:r>
            <w:proofErr w:type="gramStart"/>
            <w:r w:rsidRPr="002E3C69">
              <w:t>date?.</w:t>
            </w:r>
            <w:proofErr w:type="gramEnd"/>
          </w:p>
        </w:tc>
        <w:tc>
          <w:tcPr>
            <w:tcW w:w="3441" w:type="dxa"/>
          </w:tcPr>
          <w:p w14:paraId="097E364E" w14:textId="73051FEF" w:rsidR="0059761A" w:rsidRPr="003A64F9" w:rsidRDefault="008710EA" w:rsidP="0059761A">
            <w:pPr>
              <w:rPr>
                <w:lang w:val="uk-UA"/>
              </w:rPr>
            </w:pPr>
            <w:r w:rsidRPr="008710EA">
              <w:lastRenderedPageBreak/>
              <w:t xml:space="preserve">Yes, please. Proof of company registration. For Ukrainian companies, this means a recent extract from State Registry issued at least 3-5 days prior to </w:t>
            </w:r>
            <w:r w:rsidRPr="008710EA">
              <w:lastRenderedPageBreak/>
              <w:t>the proposal due date that confirms the company’s active registration.</w:t>
            </w:r>
          </w:p>
        </w:tc>
      </w:tr>
    </w:tbl>
    <w:p w14:paraId="006DBAAF" w14:textId="77777777" w:rsidR="00E8495C" w:rsidRPr="00FC0A40" w:rsidRDefault="00E8495C"/>
    <w:sectPr w:rsidR="00E8495C" w:rsidRPr="00FC0A40" w:rsidSect="00FD2A2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DB0"/>
    <w:multiLevelType w:val="hybridMultilevel"/>
    <w:tmpl w:val="4306C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397B5C"/>
    <w:multiLevelType w:val="hybridMultilevel"/>
    <w:tmpl w:val="9F74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F1614"/>
    <w:multiLevelType w:val="hybridMultilevel"/>
    <w:tmpl w:val="50B6C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83424B"/>
    <w:multiLevelType w:val="hybridMultilevel"/>
    <w:tmpl w:val="022CB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6D3F7A"/>
    <w:multiLevelType w:val="hybridMultilevel"/>
    <w:tmpl w:val="F3D8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47FAE"/>
    <w:multiLevelType w:val="hybridMultilevel"/>
    <w:tmpl w:val="FCE815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731A052C"/>
    <w:multiLevelType w:val="hybridMultilevel"/>
    <w:tmpl w:val="16762D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51221627">
    <w:abstractNumId w:val="1"/>
  </w:num>
  <w:num w:numId="2" w16cid:durableId="1160776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251100">
    <w:abstractNumId w:val="3"/>
  </w:num>
  <w:num w:numId="4" w16cid:durableId="94517148">
    <w:abstractNumId w:val="0"/>
  </w:num>
  <w:num w:numId="5" w16cid:durableId="1913082809">
    <w:abstractNumId w:val="4"/>
  </w:num>
  <w:num w:numId="6" w16cid:durableId="80565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2054978">
    <w:abstractNumId w:val="2"/>
  </w:num>
  <w:num w:numId="8" w16cid:durableId="839466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sLQwMjQyNTMyNDVV0lEKTi0uzszPAykwrgUAxQfe3ywAAAA="/>
  </w:docVars>
  <w:rsids>
    <w:rsidRoot w:val="00EC485B"/>
    <w:rsid w:val="00011971"/>
    <w:rsid w:val="00036AF8"/>
    <w:rsid w:val="00042E14"/>
    <w:rsid w:val="000864F7"/>
    <w:rsid w:val="000A723B"/>
    <w:rsid w:val="000B2520"/>
    <w:rsid w:val="000C7A23"/>
    <w:rsid w:val="000E5721"/>
    <w:rsid w:val="001176F4"/>
    <w:rsid w:val="00124518"/>
    <w:rsid w:val="00176926"/>
    <w:rsid w:val="00182139"/>
    <w:rsid w:val="00194A1B"/>
    <w:rsid w:val="001C2CD4"/>
    <w:rsid w:val="001F11B3"/>
    <w:rsid w:val="001F1B75"/>
    <w:rsid w:val="001F5DD0"/>
    <w:rsid w:val="0021147C"/>
    <w:rsid w:val="00211CA6"/>
    <w:rsid w:val="00226932"/>
    <w:rsid w:val="00246043"/>
    <w:rsid w:val="002751BE"/>
    <w:rsid w:val="002B157B"/>
    <w:rsid w:val="002B3C86"/>
    <w:rsid w:val="002B617B"/>
    <w:rsid w:val="002C3FE2"/>
    <w:rsid w:val="002C47A6"/>
    <w:rsid w:val="002D7BA6"/>
    <w:rsid w:val="002E3C69"/>
    <w:rsid w:val="002E7FB8"/>
    <w:rsid w:val="002F1114"/>
    <w:rsid w:val="002F1E05"/>
    <w:rsid w:val="002F43BE"/>
    <w:rsid w:val="00316986"/>
    <w:rsid w:val="00336256"/>
    <w:rsid w:val="00364E58"/>
    <w:rsid w:val="0037612F"/>
    <w:rsid w:val="00384076"/>
    <w:rsid w:val="003A1EC3"/>
    <w:rsid w:val="003A64F9"/>
    <w:rsid w:val="00412753"/>
    <w:rsid w:val="0046704E"/>
    <w:rsid w:val="004674F9"/>
    <w:rsid w:val="004A0A06"/>
    <w:rsid w:val="004B5257"/>
    <w:rsid w:val="004F5BA9"/>
    <w:rsid w:val="0051167E"/>
    <w:rsid w:val="00515AFF"/>
    <w:rsid w:val="005306FB"/>
    <w:rsid w:val="00536318"/>
    <w:rsid w:val="005943D2"/>
    <w:rsid w:val="0059761A"/>
    <w:rsid w:val="005A2FBF"/>
    <w:rsid w:val="005C685D"/>
    <w:rsid w:val="006005B2"/>
    <w:rsid w:val="0060317E"/>
    <w:rsid w:val="00603259"/>
    <w:rsid w:val="00607956"/>
    <w:rsid w:val="00640263"/>
    <w:rsid w:val="006520B7"/>
    <w:rsid w:val="00652F09"/>
    <w:rsid w:val="0065701D"/>
    <w:rsid w:val="00661DA4"/>
    <w:rsid w:val="006632A7"/>
    <w:rsid w:val="0068720F"/>
    <w:rsid w:val="006C2AAA"/>
    <w:rsid w:val="006F0AA0"/>
    <w:rsid w:val="007644CF"/>
    <w:rsid w:val="007A08C8"/>
    <w:rsid w:val="00863762"/>
    <w:rsid w:val="008710EA"/>
    <w:rsid w:val="00873DDB"/>
    <w:rsid w:val="008B6090"/>
    <w:rsid w:val="008C1C69"/>
    <w:rsid w:val="008D22ED"/>
    <w:rsid w:val="008E5E28"/>
    <w:rsid w:val="00916B05"/>
    <w:rsid w:val="009179DC"/>
    <w:rsid w:val="0096565F"/>
    <w:rsid w:val="009A29F7"/>
    <w:rsid w:val="009C4212"/>
    <w:rsid w:val="009C5604"/>
    <w:rsid w:val="00A35FC9"/>
    <w:rsid w:val="00A3704C"/>
    <w:rsid w:val="00A45F6F"/>
    <w:rsid w:val="00A82ADD"/>
    <w:rsid w:val="00AA6721"/>
    <w:rsid w:val="00AB21E8"/>
    <w:rsid w:val="00B01C17"/>
    <w:rsid w:val="00B67EAD"/>
    <w:rsid w:val="00B76569"/>
    <w:rsid w:val="00BA2282"/>
    <w:rsid w:val="00BB406D"/>
    <w:rsid w:val="00BC2470"/>
    <w:rsid w:val="00BD33D7"/>
    <w:rsid w:val="00BF530A"/>
    <w:rsid w:val="00C47E55"/>
    <w:rsid w:val="00D832DF"/>
    <w:rsid w:val="00D86CEF"/>
    <w:rsid w:val="00D93A35"/>
    <w:rsid w:val="00DA1319"/>
    <w:rsid w:val="00DA17B9"/>
    <w:rsid w:val="00DB55D3"/>
    <w:rsid w:val="00DF0EDC"/>
    <w:rsid w:val="00DF3601"/>
    <w:rsid w:val="00E338FF"/>
    <w:rsid w:val="00E37697"/>
    <w:rsid w:val="00E8495C"/>
    <w:rsid w:val="00E8531D"/>
    <w:rsid w:val="00EC485B"/>
    <w:rsid w:val="00EF0F02"/>
    <w:rsid w:val="00F11032"/>
    <w:rsid w:val="00F6295A"/>
    <w:rsid w:val="00F64BFB"/>
    <w:rsid w:val="00F67F32"/>
    <w:rsid w:val="00F82434"/>
    <w:rsid w:val="00F865A8"/>
    <w:rsid w:val="00F94B08"/>
    <w:rsid w:val="00FC0A40"/>
    <w:rsid w:val="00FD2A27"/>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3623"/>
  <w15:chartTrackingRefBased/>
  <w15:docId w15:val="{B190973A-2896-4698-A83F-2A5E0562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85B"/>
    <w:pPr>
      <w:ind w:left="720"/>
      <w:contextualSpacing/>
    </w:pPr>
  </w:style>
  <w:style w:type="paragraph" w:customStyle="1" w:styleId="1">
    <w:name w:val="Обычный1"/>
    <w:basedOn w:val="Normal"/>
    <w:rsid w:val="0031698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0844">
      <w:bodyDiv w:val="1"/>
      <w:marLeft w:val="0"/>
      <w:marRight w:val="0"/>
      <w:marTop w:val="0"/>
      <w:marBottom w:val="0"/>
      <w:divBdr>
        <w:top w:val="none" w:sz="0" w:space="0" w:color="auto"/>
        <w:left w:val="none" w:sz="0" w:space="0" w:color="auto"/>
        <w:bottom w:val="none" w:sz="0" w:space="0" w:color="auto"/>
        <w:right w:val="none" w:sz="0" w:space="0" w:color="auto"/>
      </w:divBdr>
    </w:div>
    <w:div w:id="145246292">
      <w:bodyDiv w:val="1"/>
      <w:marLeft w:val="0"/>
      <w:marRight w:val="0"/>
      <w:marTop w:val="0"/>
      <w:marBottom w:val="0"/>
      <w:divBdr>
        <w:top w:val="none" w:sz="0" w:space="0" w:color="auto"/>
        <w:left w:val="none" w:sz="0" w:space="0" w:color="auto"/>
        <w:bottom w:val="none" w:sz="0" w:space="0" w:color="auto"/>
        <w:right w:val="none" w:sz="0" w:space="0" w:color="auto"/>
      </w:divBdr>
    </w:div>
    <w:div w:id="185363596">
      <w:bodyDiv w:val="1"/>
      <w:marLeft w:val="0"/>
      <w:marRight w:val="0"/>
      <w:marTop w:val="0"/>
      <w:marBottom w:val="0"/>
      <w:divBdr>
        <w:top w:val="none" w:sz="0" w:space="0" w:color="auto"/>
        <w:left w:val="none" w:sz="0" w:space="0" w:color="auto"/>
        <w:bottom w:val="none" w:sz="0" w:space="0" w:color="auto"/>
        <w:right w:val="none" w:sz="0" w:space="0" w:color="auto"/>
      </w:divBdr>
    </w:div>
    <w:div w:id="333727056">
      <w:bodyDiv w:val="1"/>
      <w:marLeft w:val="0"/>
      <w:marRight w:val="0"/>
      <w:marTop w:val="0"/>
      <w:marBottom w:val="0"/>
      <w:divBdr>
        <w:top w:val="none" w:sz="0" w:space="0" w:color="auto"/>
        <w:left w:val="none" w:sz="0" w:space="0" w:color="auto"/>
        <w:bottom w:val="none" w:sz="0" w:space="0" w:color="auto"/>
        <w:right w:val="none" w:sz="0" w:space="0" w:color="auto"/>
      </w:divBdr>
    </w:div>
    <w:div w:id="556360993">
      <w:bodyDiv w:val="1"/>
      <w:marLeft w:val="0"/>
      <w:marRight w:val="0"/>
      <w:marTop w:val="0"/>
      <w:marBottom w:val="0"/>
      <w:divBdr>
        <w:top w:val="none" w:sz="0" w:space="0" w:color="auto"/>
        <w:left w:val="none" w:sz="0" w:space="0" w:color="auto"/>
        <w:bottom w:val="none" w:sz="0" w:space="0" w:color="auto"/>
        <w:right w:val="none" w:sz="0" w:space="0" w:color="auto"/>
      </w:divBdr>
    </w:div>
    <w:div w:id="608395540">
      <w:bodyDiv w:val="1"/>
      <w:marLeft w:val="0"/>
      <w:marRight w:val="0"/>
      <w:marTop w:val="0"/>
      <w:marBottom w:val="0"/>
      <w:divBdr>
        <w:top w:val="none" w:sz="0" w:space="0" w:color="auto"/>
        <w:left w:val="none" w:sz="0" w:space="0" w:color="auto"/>
        <w:bottom w:val="none" w:sz="0" w:space="0" w:color="auto"/>
        <w:right w:val="none" w:sz="0" w:space="0" w:color="auto"/>
      </w:divBdr>
    </w:div>
    <w:div w:id="631785898">
      <w:bodyDiv w:val="1"/>
      <w:marLeft w:val="0"/>
      <w:marRight w:val="0"/>
      <w:marTop w:val="0"/>
      <w:marBottom w:val="0"/>
      <w:divBdr>
        <w:top w:val="none" w:sz="0" w:space="0" w:color="auto"/>
        <w:left w:val="none" w:sz="0" w:space="0" w:color="auto"/>
        <w:bottom w:val="none" w:sz="0" w:space="0" w:color="auto"/>
        <w:right w:val="none" w:sz="0" w:space="0" w:color="auto"/>
      </w:divBdr>
    </w:div>
    <w:div w:id="667902605">
      <w:bodyDiv w:val="1"/>
      <w:marLeft w:val="0"/>
      <w:marRight w:val="0"/>
      <w:marTop w:val="0"/>
      <w:marBottom w:val="0"/>
      <w:divBdr>
        <w:top w:val="none" w:sz="0" w:space="0" w:color="auto"/>
        <w:left w:val="none" w:sz="0" w:space="0" w:color="auto"/>
        <w:bottom w:val="none" w:sz="0" w:space="0" w:color="auto"/>
        <w:right w:val="none" w:sz="0" w:space="0" w:color="auto"/>
      </w:divBdr>
    </w:div>
    <w:div w:id="920143834">
      <w:bodyDiv w:val="1"/>
      <w:marLeft w:val="0"/>
      <w:marRight w:val="0"/>
      <w:marTop w:val="0"/>
      <w:marBottom w:val="0"/>
      <w:divBdr>
        <w:top w:val="none" w:sz="0" w:space="0" w:color="auto"/>
        <w:left w:val="none" w:sz="0" w:space="0" w:color="auto"/>
        <w:bottom w:val="none" w:sz="0" w:space="0" w:color="auto"/>
        <w:right w:val="none" w:sz="0" w:space="0" w:color="auto"/>
      </w:divBdr>
    </w:div>
    <w:div w:id="927889714">
      <w:bodyDiv w:val="1"/>
      <w:marLeft w:val="0"/>
      <w:marRight w:val="0"/>
      <w:marTop w:val="0"/>
      <w:marBottom w:val="0"/>
      <w:divBdr>
        <w:top w:val="none" w:sz="0" w:space="0" w:color="auto"/>
        <w:left w:val="none" w:sz="0" w:space="0" w:color="auto"/>
        <w:bottom w:val="none" w:sz="0" w:space="0" w:color="auto"/>
        <w:right w:val="none" w:sz="0" w:space="0" w:color="auto"/>
      </w:divBdr>
    </w:div>
    <w:div w:id="1004867664">
      <w:bodyDiv w:val="1"/>
      <w:marLeft w:val="0"/>
      <w:marRight w:val="0"/>
      <w:marTop w:val="0"/>
      <w:marBottom w:val="0"/>
      <w:divBdr>
        <w:top w:val="none" w:sz="0" w:space="0" w:color="auto"/>
        <w:left w:val="none" w:sz="0" w:space="0" w:color="auto"/>
        <w:bottom w:val="none" w:sz="0" w:space="0" w:color="auto"/>
        <w:right w:val="none" w:sz="0" w:space="0" w:color="auto"/>
      </w:divBdr>
    </w:div>
    <w:div w:id="1031496943">
      <w:bodyDiv w:val="1"/>
      <w:marLeft w:val="0"/>
      <w:marRight w:val="0"/>
      <w:marTop w:val="0"/>
      <w:marBottom w:val="0"/>
      <w:divBdr>
        <w:top w:val="none" w:sz="0" w:space="0" w:color="auto"/>
        <w:left w:val="none" w:sz="0" w:space="0" w:color="auto"/>
        <w:bottom w:val="none" w:sz="0" w:space="0" w:color="auto"/>
        <w:right w:val="none" w:sz="0" w:space="0" w:color="auto"/>
      </w:divBdr>
    </w:div>
    <w:div w:id="1178617588">
      <w:bodyDiv w:val="1"/>
      <w:marLeft w:val="0"/>
      <w:marRight w:val="0"/>
      <w:marTop w:val="0"/>
      <w:marBottom w:val="0"/>
      <w:divBdr>
        <w:top w:val="none" w:sz="0" w:space="0" w:color="auto"/>
        <w:left w:val="none" w:sz="0" w:space="0" w:color="auto"/>
        <w:bottom w:val="none" w:sz="0" w:space="0" w:color="auto"/>
        <w:right w:val="none" w:sz="0" w:space="0" w:color="auto"/>
      </w:divBdr>
    </w:div>
    <w:div w:id="1200969998">
      <w:bodyDiv w:val="1"/>
      <w:marLeft w:val="0"/>
      <w:marRight w:val="0"/>
      <w:marTop w:val="0"/>
      <w:marBottom w:val="0"/>
      <w:divBdr>
        <w:top w:val="none" w:sz="0" w:space="0" w:color="auto"/>
        <w:left w:val="none" w:sz="0" w:space="0" w:color="auto"/>
        <w:bottom w:val="none" w:sz="0" w:space="0" w:color="auto"/>
        <w:right w:val="none" w:sz="0" w:space="0" w:color="auto"/>
      </w:divBdr>
    </w:div>
    <w:div w:id="1290433664">
      <w:bodyDiv w:val="1"/>
      <w:marLeft w:val="0"/>
      <w:marRight w:val="0"/>
      <w:marTop w:val="0"/>
      <w:marBottom w:val="0"/>
      <w:divBdr>
        <w:top w:val="none" w:sz="0" w:space="0" w:color="auto"/>
        <w:left w:val="none" w:sz="0" w:space="0" w:color="auto"/>
        <w:bottom w:val="none" w:sz="0" w:space="0" w:color="auto"/>
        <w:right w:val="none" w:sz="0" w:space="0" w:color="auto"/>
      </w:divBdr>
    </w:div>
    <w:div w:id="21022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Kuzin, Oleksandr</dc:creator>
  <cp:keywords/>
  <dc:description/>
  <cp:lastModifiedBy>Stetsenko, Oleh</cp:lastModifiedBy>
  <cp:revision>8</cp:revision>
  <dcterms:created xsi:type="dcterms:W3CDTF">2023-05-15T14:32:00Z</dcterms:created>
  <dcterms:modified xsi:type="dcterms:W3CDTF">2023-05-16T07:23:00Z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0be19aa77e50f64d11a6a161c1888a10f80c65ec99b7dc0af1ec6f871f6e2c2b</vt:lpwstr>
  </property>
</Properties>
</file>