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715"/>
        <w:gridCol w:w="4410"/>
        <w:gridCol w:w="4071"/>
      </w:tblGrid>
      <w:tr w:rsidR="00EC485B" w:rsidRPr="007145B2" w14:paraId="18674954" w14:textId="77777777" w:rsidTr="000D3D8C">
        <w:tc>
          <w:tcPr>
            <w:tcW w:w="715" w:type="dxa"/>
          </w:tcPr>
          <w:p w14:paraId="54053683" w14:textId="77777777" w:rsidR="00EC485B" w:rsidRPr="007145B2" w:rsidRDefault="00EC485B" w:rsidP="00D25482">
            <w:r w:rsidRPr="007145B2">
              <w:t>#</w:t>
            </w:r>
          </w:p>
        </w:tc>
        <w:tc>
          <w:tcPr>
            <w:tcW w:w="4410" w:type="dxa"/>
          </w:tcPr>
          <w:p w14:paraId="67092664" w14:textId="77777777" w:rsidR="00EC485B" w:rsidRPr="007145B2" w:rsidRDefault="00EC485B" w:rsidP="00D25482">
            <w:r w:rsidRPr="007145B2">
              <w:t>Bidders’ questions</w:t>
            </w:r>
          </w:p>
        </w:tc>
        <w:tc>
          <w:tcPr>
            <w:tcW w:w="4071" w:type="dxa"/>
          </w:tcPr>
          <w:p w14:paraId="6512AC42" w14:textId="77777777" w:rsidR="00EC485B" w:rsidRPr="007145B2" w:rsidRDefault="00EC485B" w:rsidP="00D25482">
            <w:r w:rsidRPr="007145B2">
              <w:t xml:space="preserve">Tetra Tech’s reply </w:t>
            </w:r>
          </w:p>
        </w:tc>
      </w:tr>
      <w:tr w:rsidR="00042E14" w:rsidRPr="007145B2" w14:paraId="26551B76" w14:textId="77777777" w:rsidTr="000D3D8C">
        <w:tc>
          <w:tcPr>
            <w:tcW w:w="715" w:type="dxa"/>
          </w:tcPr>
          <w:p w14:paraId="62122129" w14:textId="77777777" w:rsidR="00042E14" w:rsidRPr="007145B2" w:rsidRDefault="00042E14" w:rsidP="00042E1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10" w:type="dxa"/>
          </w:tcPr>
          <w:p w14:paraId="6C8F1A01" w14:textId="47A2D5A7" w:rsidR="00042E14" w:rsidRPr="007145B2" w:rsidRDefault="00922D1A" w:rsidP="008E5E28">
            <w:r w:rsidRPr="007145B2">
              <w:t xml:space="preserve">Do you plan to hold the 5-day training in five consecutive </w:t>
            </w:r>
            <w:proofErr w:type="gramStart"/>
            <w:r w:rsidRPr="007145B2">
              <w:t>days</w:t>
            </w:r>
            <w:proofErr w:type="gramEnd"/>
            <w:r w:rsidRPr="007145B2">
              <w:t xml:space="preserve"> or could the training days be spaced out, e.g. over 2-3 weeks?</w:t>
            </w:r>
          </w:p>
        </w:tc>
        <w:tc>
          <w:tcPr>
            <w:tcW w:w="4071" w:type="dxa"/>
          </w:tcPr>
          <w:p w14:paraId="48E578B9" w14:textId="2C349CBB" w:rsidR="00042E14" w:rsidRPr="007145B2" w:rsidRDefault="00823CA9" w:rsidP="00042E14">
            <w:r>
              <w:t>The</w:t>
            </w:r>
            <w:r w:rsidR="000D3D8C" w:rsidRPr="000D3D8C">
              <w:t xml:space="preserve"> pause</w:t>
            </w:r>
            <w:r>
              <w:t>s</w:t>
            </w:r>
            <w:r w:rsidR="000D3D8C" w:rsidRPr="000D3D8C">
              <w:t xml:space="preserve"> between five training</w:t>
            </w:r>
            <w:r w:rsidR="002708BC">
              <w:t>s</w:t>
            </w:r>
            <w:r>
              <w:t xml:space="preserve"> are allowed</w:t>
            </w:r>
            <w:r w:rsidR="000D3D8C" w:rsidRPr="000D3D8C">
              <w:t xml:space="preserve">, but </w:t>
            </w:r>
            <w:r w:rsidR="00F26AFF">
              <w:t>we do not want</w:t>
            </w:r>
            <w:r w:rsidR="000D3D8C" w:rsidRPr="000D3D8C">
              <w:t xml:space="preserve"> to stretch this out for more than 2-3 weeks.</w:t>
            </w:r>
          </w:p>
        </w:tc>
      </w:tr>
      <w:tr w:rsidR="00042E14" w:rsidRPr="007145B2" w14:paraId="2ABF5347" w14:textId="77777777" w:rsidTr="000D3D8C">
        <w:tc>
          <w:tcPr>
            <w:tcW w:w="715" w:type="dxa"/>
          </w:tcPr>
          <w:p w14:paraId="54FF4ABE" w14:textId="77777777" w:rsidR="00042E14" w:rsidRPr="007145B2" w:rsidRDefault="00042E14" w:rsidP="00042E1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10" w:type="dxa"/>
          </w:tcPr>
          <w:p w14:paraId="60E342A6" w14:textId="56882700" w:rsidR="00042E14" w:rsidRPr="007145B2" w:rsidRDefault="00922D1A" w:rsidP="00042E14">
            <w:r w:rsidRPr="007145B2">
              <w:t>In case spacing out the training days is possible, would the same be acceptable for the delivery of training materials?</w:t>
            </w:r>
          </w:p>
        </w:tc>
        <w:tc>
          <w:tcPr>
            <w:tcW w:w="4071" w:type="dxa"/>
          </w:tcPr>
          <w:p w14:paraId="0980BC2A" w14:textId="3CCF5BCC" w:rsidR="00042E14" w:rsidRPr="007145B2" w:rsidRDefault="00BB4E4E" w:rsidP="000D3D8C">
            <w:pPr>
              <w:spacing w:after="160" w:line="259" w:lineRule="auto"/>
            </w:pPr>
            <w:r>
              <w:t>Y</w:t>
            </w:r>
            <w:r w:rsidR="000D3D8C" w:rsidRPr="000D3D8C">
              <w:t>ou can send materials in parts, dividing them according to topics or trainings.</w:t>
            </w:r>
          </w:p>
        </w:tc>
      </w:tr>
      <w:tr w:rsidR="00042E14" w:rsidRPr="007145B2" w14:paraId="38F2BDF4" w14:textId="77777777" w:rsidTr="000D3D8C">
        <w:trPr>
          <w:trHeight w:val="70"/>
        </w:trPr>
        <w:tc>
          <w:tcPr>
            <w:tcW w:w="715" w:type="dxa"/>
          </w:tcPr>
          <w:p w14:paraId="46B1DE3F" w14:textId="77777777" w:rsidR="00042E14" w:rsidRPr="007145B2" w:rsidRDefault="00042E14" w:rsidP="00042E1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10" w:type="dxa"/>
          </w:tcPr>
          <w:p w14:paraId="30A80076" w14:textId="149E427A" w:rsidR="00042E14" w:rsidRPr="007145B2" w:rsidRDefault="00922D1A" w:rsidP="00184BB0">
            <w:r w:rsidRPr="007145B2">
              <w:t>Is there a minimum required period between the delivery of the training material and the relevant workshop?</w:t>
            </w:r>
          </w:p>
        </w:tc>
        <w:tc>
          <w:tcPr>
            <w:tcW w:w="4071" w:type="dxa"/>
          </w:tcPr>
          <w:p w14:paraId="38268616" w14:textId="5A23930F" w:rsidR="00042E14" w:rsidRPr="007145B2" w:rsidRDefault="007E5361" w:rsidP="00042E14">
            <w:r w:rsidRPr="00931B88">
              <w:t>ESP</w:t>
            </w:r>
            <w:r w:rsidR="00BB4E4E" w:rsidRPr="000D3D8C">
              <w:t xml:space="preserve"> </w:t>
            </w:r>
            <w:r w:rsidR="002708BC">
              <w:t>expects</w:t>
            </w:r>
            <w:r w:rsidR="00BB4E4E" w:rsidRPr="000D3D8C">
              <w:t xml:space="preserve"> to receive prepared materials before the start of the </w:t>
            </w:r>
            <w:r w:rsidR="00FE25AF" w:rsidRPr="000D3D8C">
              <w:t>trainings,</w:t>
            </w:r>
            <w:r w:rsidR="00BB4E4E">
              <w:t xml:space="preserve"> </w:t>
            </w:r>
            <w:r w:rsidR="00BB4E4E" w:rsidRPr="000D3D8C">
              <w:t>but this must be done within the specified time frame</w:t>
            </w:r>
            <w:r w:rsidR="00BB4E4E">
              <w:t xml:space="preserve"> according to TOR.</w:t>
            </w:r>
          </w:p>
        </w:tc>
      </w:tr>
      <w:tr w:rsidR="00042E14" w:rsidRPr="007145B2" w14:paraId="1932EA16" w14:textId="77777777" w:rsidTr="000D3D8C">
        <w:trPr>
          <w:trHeight w:val="70"/>
        </w:trPr>
        <w:tc>
          <w:tcPr>
            <w:tcW w:w="715" w:type="dxa"/>
          </w:tcPr>
          <w:p w14:paraId="45516C82" w14:textId="77777777" w:rsidR="00042E14" w:rsidRPr="007145B2" w:rsidRDefault="00042E14" w:rsidP="00042E1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10" w:type="dxa"/>
          </w:tcPr>
          <w:p w14:paraId="5FBC9962" w14:textId="3D0A683E" w:rsidR="00042E14" w:rsidRPr="007145B2" w:rsidRDefault="00922D1A" w:rsidP="000C272F">
            <w:r w:rsidRPr="007145B2">
              <w:t>Is the project expected to be fully remote or should some physical workshops be planned?</w:t>
            </w:r>
          </w:p>
        </w:tc>
        <w:tc>
          <w:tcPr>
            <w:tcW w:w="4071" w:type="dxa"/>
          </w:tcPr>
          <w:p w14:paraId="61551C7E" w14:textId="6FA6DC1A" w:rsidR="000A723B" w:rsidRPr="007145B2" w:rsidRDefault="00CD6CA2" w:rsidP="00042E14">
            <w:r w:rsidRPr="000D3D8C">
              <w:t>In military conditions, it is difficult to conduct offline trainings while providing a safe environment for participants. It will be more convenient for the participants to be present online with the possibility of later reviewing the recorded training.</w:t>
            </w:r>
          </w:p>
        </w:tc>
      </w:tr>
      <w:tr w:rsidR="00042E14" w:rsidRPr="007145B2" w14:paraId="43528D76" w14:textId="77777777" w:rsidTr="000D3D8C">
        <w:trPr>
          <w:trHeight w:val="70"/>
        </w:trPr>
        <w:tc>
          <w:tcPr>
            <w:tcW w:w="715" w:type="dxa"/>
          </w:tcPr>
          <w:p w14:paraId="5284A546" w14:textId="77777777" w:rsidR="00042E14" w:rsidRPr="007145B2" w:rsidRDefault="00042E14" w:rsidP="00042E1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10" w:type="dxa"/>
          </w:tcPr>
          <w:p w14:paraId="45C55502" w14:textId="1A1E2AB0" w:rsidR="00042E14" w:rsidRPr="007145B2" w:rsidRDefault="000321DC" w:rsidP="008B6090">
            <w:r w:rsidRPr="007145B2">
              <w:t xml:space="preserve">Is English expected as the language of the workshops (even if the final deliverable </w:t>
            </w:r>
            <w:proofErr w:type="gramStart"/>
            <w:r w:rsidRPr="007145B2">
              <w:t>has to</w:t>
            </w:r>
            <w:proofErr w:type="gramEnd"/>
            <w:r w:rsidRPr="007145B2">
              <w:t xml:space="preserve"> be in both EN &amp; UA)?</w:t>
            </w:r>
          </w:p>
        </w:tc>
        <w:tc>
          <w:tcPr>
            <w:tcW w:w="4071" w:type="dxa"/>
          </w:tcPr>
          <w:p w14:paraId="3E5AFAC1" w14:textId="6127F547" w:rsidR="0046704E" w:rsidRPr="007145B2" w:rsidRDefault="00EC6A23" w:rsidP="00042E14">
            <w:r>
              <w:t>All</w:t>
            </w:r>
            <w:r w:rsidRPr="00EC6A23">
              <w:t xml:space="preserve"> training materials </w:t>
            </w:r>
            <w:r w:rsidR="000D3D8C">
              <w:t xml:space="preserve">and </w:t>
            </w:r>
            <w:r w:rsidRPr="00EC6A23">
              <w:t>answers to the questions</w:t>
            </w:r>
            <w:r w:rsidR="000D3D8C">
              <w:t xml:space="preserve"> </w:t>
            </w:r>
            <w:r w:rsidRPr="00EC6A23">
              <w:t>must be delivered in both English and Ukrainian.</w:t>
            </w:r>
            <w:r w:rsidR="000D3D8C">
              <w:t xml:space="preserve"> </w:t>
            </w:r>
            <w:r w:rsidR="00931B88" w:rsidRPr="00931B88">
              <w:t>Simultaneous translation of trainings can be provided by ESP.</w:t>
            </w:r>
          </w:p>
        </w:tc>
      </w:tr>
      <w:tr w:rsidR="00042E14" w:rsidRPr="007145B2" w14:paraId="77462FD0" w14:textId="77777777" w:rsidTr="000D3D8C">
        <w:trPr>
          <w:trHeight w:val="70"/>
        </w:trPr>
        <w:tc>
          <w:tcPr>
            <w:tcW w:w="715" w:type="dxa"/>
          </w:tcPr>
          <w:p w14:paraId="0A6FC13F" w14:textId="77777777" w:rsidR="00042E14" w:rsidRPr="007145B2" w:rsidRDefault="00042E14" w:rsidP="00042E1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10" w:type="dxa"/>
          </w:tcPr>
          <w:p w14:paraId="7C55495C" w14:textId="3DC49191" w:rsidR="00042E14" w:rsidRPr="007145B2" w:rsidRDefault="000321DC" w:rsidP="006520B7">
            <w:r w:rsidRPr="007145B2">
              <w:t xml:space="preserve">The Annex has </w:t>
            </w:r>
            <w:proofErr w:type="gramStart"/>
            <w:r w:rsidRPr="007145B2">
              <w:t>a number of</w:t>
            </w:r>
            <w:proofErr w:type="gramEnd"/>
            <w:r w:rsidRPr="007145B2">
              <w:t xml:space="preserve"> questions on the NEMO regulation, does this imply that the workshops should also have a similar focus and proportion of the time dedicated to this topic?</w:t>
            </w:r>
          </w:p>
        </w:tc>
        <w:tc>
          <w:tcPr>
            <w:tcW w:w="4071" w:type="dxa"/>
          </w:tcPr>
          <w:p w14:paraId="6EEC38A6" w14:textId="00B42B08" w:rsidR="00042E14" w:rsidRPr="007145B2" w:rsidRDefault="00651A65" w:rsidP="0046704E">
            <w:r w:rsidRPr="00651A65">
              <w:t xml:space="preserve">The Consultant must cover all the issues outlined in the </w:t>
            </w:r>
            <w:r w:rsidR="00EA2D11">
              <w:t xml:space="preserve">SoW itself and in the </w:t>
            </w:r>
            <w:r w:rsidRPr="00651A65">
              <w:t>Annex</w:t>
            </w:r>
            <w:r w:rsidR="00EA2D11">
              <w:t xml:space="preserve"> (including but not limited to)</w:t>
            </w:r>
            <w:r w:rsidR="00F26AFF">
              <w:t xml:space="preserve"> </w:t>
            </w:r>
            <w:r w:rsidRPr="00651A65">
              <w:t>and give</w:t>
            </w:r>
            <w:r w:rsidR="00EA2D11">
              <w:t xml:space="preserve"> comprehensive </w:t>
            </w:r>
            <w:r w:rsidRPr="00651A65">
              <w:t>information about it in the materials of the final report and pieces of training.</w:t>
            </w:r>
          </w:p>
        </w:tc>
      </w:tr>
      <w:tr w:rsidR="00042E14" w:rsidRPr="007145B2" w14:paraId="2183960E" w14:textId="77777777" w:rsidTr="000D3D8C">
        <w:trPr>
          <w:trHeight w:val="70"/>
        </w:trPr>
        <w:tc>
          <w:tcPr>
            <w:tcW w:w="715" w:type="dxa"/>
          </w:tcPr>
          <w:p w14:paraId="3355E21F" w14:textId="77777777" w:rsidR="00042E14" w:rsidRPr="007145B2" w:rsidRDefault="00042E14" w:rsidP="00042E1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10" w:type="dxa"/>
          </w:tcPr>
          <w:p w14:paraId="00D093C9" w14:textId="4CB388C0" w:rsidR="00042E14" w:rsidRPr="00EA2D11" w:rsidRDefault="000321DC" w:rsidP="00607956">
            <w:r w:rsidRPr="007145B2">
              <w:t>Would it be relevant to include the discussion of the Flow-Based Market Coupling in the program, which is an integral part of CACM?</w:t>
            </w:r>
          </w:p>
        </w:tc>
        <w:tc>
          <w:tcPr>
            <w:tcW w:w="4071" w:type="dxa"/>
          </w:tcPr>
          <w:p w14:paraId="5CC2354C" w14:textId="06A3565C" w:rsidR="0046704E" w:rsidRPr="007145B2" w:rsidRDefault="00A367D1" w:rsidP="00042E14">
            <w:r w:rsidRPr="00A367D1">
              <w:t>The consultant must include in the training program all relevant topics related to Market Coupling, including Flow-Based Market Coupling.</w:t>
            </w:r>
          </w:p>
        </w:tc>
      </w:tr>
      <w:tr w:rsidR="00042E14" w:rsidRPr="007145B2" w14:paraId="3DEFA840" w14:textId="77777777" w:rsidTr="000D3D8C">
        <w:trPr>
          <w:trHeight w:val="70"/>
        </w:trPr>
        <w:tc>
          <w:tcPr>
            <w:tcW w:w="715" w:type="dxa"/>
          </w:tcPr>
          <w:p w14:paraId="54F3BFD7" w14:textId="77777777" w:rsidR="00042E14" w:rsidRPr="007145B2" w:rsidRDefault="00042E14" w:rsidP="00042E1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10" w:type="dxa"/>
          </w:tcPr>
          <w:p w14:paraId="26138475" w14:textId="196AD0A5" w:rsidR="00042E14" w:rsidRPr="007145B2" w:rsidRDefault="000321DC" w:rsidP="000C272F">
            <w:r w:rsidRPr="007145B2">
              <w:t>Is the roadmap for market coupling with EU and Moldova delivered separately from the 5-day workshop or is it part of the workshops? It would seem that this should rather be part of the conclusion of the training, would you agree with such a proposal?</w:t>
            </w:r>
          </w:p>
        </w:tc>
        <w:tc>
          <w:tcPr>
            <w:tcW w:w="4071" w:type="dxa"/>
          </w:tcPr>
          <w:p w14:paraId="55CD3ED0" w14:textId="77649990" w:rsidR="002F1114" w:rsidRPr="0040093D" w:rsidRDefault="0040093D" w:rsidP="00042E14">
            <w:r w:rsidRPr="0040093D">
              <w:t>Development of a detailed roadmap for electricity market coupling with the EU markets and Moldova is a separate deliverable and must be agreed upon before the start of the trainings. Of course,</w:t>
            </w:r>
            <w:r w:rsidR="008A339F">
              <w:t xml:space="preserve"> </w:t>
            </w:r>
            <w:r w:rsidR="008A339F" w:rsidRPr="00651A65">
              <w:t>ESP</w:t>
            </w:r>
            <w:r w:rsidR="008A339F">
              <w:t xml:space="preserve"> and other</w:t>
            </w:r>
            <w:r w:rsidRPr="0040093D">
              <w:t xml:space="preserve"> recipients expect that the roadmap discussion will be included in the training program.</w:t>
            </w:r>
          </w:p>
        </w:tc>
      </w:tr>
      <w:tr w:rsidR="005A2FBF" w:rsidRPr="007145B2" w14:paraId="1103AE61" w14:textId="77777777" w:rsidTr="000D3D8C">
        <w:trPr>
          <w:trHeight w:val="70"/>
        </w:trPr>
        <w:tc>
          <w:tcPr>
            <w:tcW w:w="715" w:type="dxa"/>
          </w:tcPr>
          <w:p w14:paraId="1FDFF37E" w14:textId="77777777" w:rsidR="005A2FBF" w:rsidRPr="007145B2" w:rsidRDefault="005A2FBF" w:rsidP="00042E1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10" w:type="dxa"/>
          </w:tcPr>
          <w:p w14:paraId="6D8CE3AA" w14:textId="5EB4250A" w:rsidR="005A2FBF" w:rsidRPr="0040093D" w:rsidRDefault="000321DC" w:rsidP="00042E14">
            <w:pPr>
              <w:rPr>
                <w:lang w:val="uk-UA"/>
              </w:rPr>
            </w:pPr>
            <w:r w:rsidRPr="007145B2">
              <w:t>Would it be possible to have the final report public?</w:t>
            </w:r>
          </w:p>
        </w:tc>
        <w:tc>
          <w:tcPr>
            <w:tcW w:w="4071" w:type="dxa"/>
          </w:tcPr>
          <w:p w14:paraId="5106E81E" w14:textId="129C8EB2" w:rsidR="005A2FBF" w:rsidRPr="007145B2" w:rsidRDefault="00651A65" w:rsidP="00042E14">
            <w:r w:rsidRPr="00651A65">
              <w:t xml:space="preserve">ESP is the main recipient of the </w:t>
            </w:r>
            <w:r w:rsidR="00FE25AF" w:rsidRPr="00651A65">
              <w:t>report,</w:t>
            </w:r>
            <w:r w:rsidRPr="00651A65">
              <w:t xml:space="preserve"> but it could be shared with NEURC, the Market Operator, Ukrenergo, the Ministry of Energy, the Energy Community Secretariat, and other relevant stakeholders to be determined by ESP.</w:t>
            </w:r>
          </w:p>
        </w:tc>
      </w:tr>
    </w:tbl>
    <w:p w14:paraId="2034B6EE" w14:textId="77777777" w:rsidR="00E8495C" w:rsidRPr="007145B2" w:rsidRDefault="00E8495C"/>
    <w:sectPr w:rsidR="00E8495C" w:rsidRPr="007145B2" w:rsidSect="00FD2A2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DB0"/>
    <w:multiLevelType w:val="hybridMultilevel"/>
    <w:tmpl w:val="4306C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B5C"/>
    <w:multiLevelType w:val="hybridMultilevel"/>
    <w:tmpl w:val="9F749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614"/>
    <w:multiLevelType w:val="hybridMultilevel"/>
    <w:tmpl w:val="50B6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3424B"/>
    <w:multiLevelType w:val="hybridMultilevel"/>
    <w:tmpl w:val="022CBE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3F7A"/>
    <w:multiLevelType w:val="hybridMultilevel"/>
    <w:tmpl w:val="F3D8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7FAE"/>
    <w:multiLevelType w:val="hybridMultilevel"/>
    <w:tmpl w:val="FCE81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A052C"/>
    <w:multiLevelType w:val="hybridMultilevel"/>
    <w:tmpl w:val="16762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52773">
    <w:abstractNumId w:val="1"/>
  </w:num>
  <w:num w:numId="2" w16cid:durableId="2065792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0161276">
    <w:abstractNumId w:val="3"/>
  </w:num>
  <w:num w:numId="4" w16cid:durableId="1030716541">
    <w:abstractNumId w:val="0"/>
  </w:num>
  <w:num w:numId="5" w16cid:durableId="57559858">
    <w:abstractNumId w:val="4"/>
  </w:num>
  <w:num w:numId="6" w16cid:durableId="15324555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8147038">
    <w:abstractNumId w:val="2"/>
  </w:num>
  <w:num w:numId="8" w16cid:durableId="1328166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sLQwMjQyNTMyNDVV0lEKTi0uzszPAykwrgUAxQfe3ywAAAA="/>
  </w:docVars>
  <w:rsids>
    <w:rsidRoot w:val="00EC485B"/>
    <w:rsid w:val="000321DC"/>
    <w:rsid w:val="00036AF8"/>
    <w:rsid w:val="00042E14"/>
    <w:rsid w:val="000864F7"/>
    <w:rsid w:val="000A723B"/>
    <w:rsid w:val="000C272F"/>
    <w:rsid w:val="000C7A23"/>
    <w:rsid w:val="000D3D8C"/>
    <w:rsid w:val="000E5721"/>
    <w:rsid w:val="00176926"/>
    <w:rsid w:val="00182139"/>
    <w:rsid w:val="00184BB0"/>
    <w:rsid w:val="001C2CD4"/>
    <w:rsid w:val="001C682C"/>
    <w:rsid w:val="001F11B3"/>
    <w:rsid w:val="001F1B75"/>
    <w:rsid w:val="001F5DD0"/>
    <w:rsid w:val="0021147C"/>
    <w:rsid w:val="00211CA6"/>
    <w:rsid w:val="00246043"/>
    <w:rsid w:val="002708BC"/>
    <w:rsid w:val="002C3FE2"/>
    <w:rsid w:val="002C47A6"/>
    <w:rsid w:val="002D7BA6"/>
    <w:rsid w:val="002E7FB8"/>
    <w:rsid w:val="002F1114"/>
    <w:rsid w:val="002F1E05"/>
    <w:rsid w:val="002F43BE"/>
    <w:rsid w:val="00364E58"/>
    <w:rsid w:val="0037612F"/>
    <w:rsid w:val="00384076"/>
    <w:rsid w:val="003A1EC3"/>
    <w:rsid w:val="003A64F9"/>
    <w:rsid w:val="003A72AC"/>
    <w:rsid w:val="0040093D"/>
    <w:rsid w:val="0046704E"/>
    <w:rsid w:val="004A0A06"/>
    <w:rsid w:val="004B5257"/>
    <w:rsid w:val="004F5BA9"/>
    <w:rsid w:val="0051167E"/>
    <w:rsid w:val="00515AFF"/>
    <w:rsid w:val="005306FB"/>
    <w:rsid w:val="00536318"/>
    <w:rsid w:val="0054349B"/>
    <w:rsid w:val="005943D2"/>
    <w:rsid w:val="005A2FBF"/>
    <w:rsid w:val="0060317E"/>
    <w:rsid w:val="00603259"/>
    <w:rsid w:val="00607956"/>
    <w:rsid w:val="00640263"/>
    <w:rsid w:val="00651A65"/>
    <w:rsid w:val="006520B7"/>
    <w:rsid w:val="00652F09"/>
    <w:rsid w:val="00661DA4"/>
    <w:rsid w:val="006632A7"/>
    <w:rsid w:val="0068720F"/>
    <w:rsid w:val="006F0AA0"/>
    <w:rsid w:val="007145B2"/>
    <w:rsid w:val="007644CF"/>
    <w:rsid w:val="007A08C8"/>
    <w:rsid w:val="007E5361"/>
    <w:rsid w:val="00823CA9"/>
    <w:rsid w:val="00863762"/>
    <w:rsid w:val="00873DDB"/>
    <w:rsid w:val="008A339F"/>
    <w:rsid w:val="008B6090"/>
    <w:rsid w:val="008D22ED"/>
    <w:rsid w:val="008E5E28"/>
    <w:rsid w:val="00916B05"/>
    <w:rsid w:val="009179DC"/>
    <w:rsid w:val="00922D1A"/>
    <w:rsid w:val="00931B88"/>
    <w:rsid w:val="00953EE5"/>
    <w:rsid w:val="0096565F"/>
    <w:rsid w:val="009814D1"/>
    <w:rsid w:val="009A29F7"/>
    <w:rsid w:val="009C5604"/>
    <w:rsid w:val="00A35FC9"/>
    <w:rsid w:val="00A367D1"/>
    <w:rsid w:val="00A3704C"/>
    <w:rsid w:val="00A45F6F"/>
    <w:rsid w:val="00A82ADD"/>
    <w:rsid w:val="00AA6721"/>
    <w:rsid w:val="00AB21E8"/>
    <w:rsid w:val="00B01C17"/>
    <w:rsid w:val="00B67EAD"/>
    <w:rsid w:val="00BA2282"/>
    <w:rsid w:val="00BB406D"/>
    <w:rsid w:val="00BB4E4E"/>
    <w:rsid w:val="00BC2470"/>
    <w:rsid w:val="00BD33D7"/>
    <w:rsid w:val="00BF530A"/>
    <w:rsid w:val="00C90E12"/>
    <w:rsid w:val="00CD6CA2"/>
    <w:rsid w:val="00D832DF"/>
    <w:rsid w:val="00D86CEF"/>
    <w:rsid w:val="00DA1319"/>
    <w:rsid w:val="00DA17B9"/>
    <w:rsid w:val="00DB55D3"/>
    <w:rsid w:val="00DE096F"/>
    <w:rsid w:val="00DF0EDC"/>
    <w:rsid w:val="00DF3601"/>
    <w:rsid w:val="00E338FF"/>
    <w:rsid w:val="00E37697"/>
    <w:rsid w:val="00E8495C"/>
    <w:rsid w:val="00EA2D11"/>
    <w:rsid w:val="00EC485B"/>
    <w:rsid w:val="00EC6A23"/>
    <w:rsid w:val="00EF0F02"/>
    <w:rsid w:val="00F11032"/>
    <w:rsid w:val="00F26AFF"/>
    <w:rsid w:val="00F6295A"/>
    <w:rsid w:val="00F64BFB"/>
    <w:rsid w:val="00F67F32"/>
    <w:rsid w:val="00F82434"/>
    <w:rsid w:val="00F94B08"/>
    <w:rsid w:val="00FD2A27"/>
    <w:rsid w:val="00FE25AF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AFD8"/>
  <w15:chartTrackingRefBased/>
  <w15:docId w15:val="{B190973A-2896-4698-A83F-2A5E056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85B"/>
    <w:pPr>
      <w:ind w:left="720"/>
      <w:contextualSpacing/>
    </w:pPr>
  </w:style>
  <w:style w:type="paragraph" w:styleId="Revision">
    <w:name w:val="Revision"/>
    <w:hidden/>
    <w:uiPriority w:val="99"/>
    <w:semiHidden/>
    <w:rsid w:val="00F26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Kuzin, Oleksandr</dc:creator>
  <cp:keywords/>
  <dc:description/>
  <cp:lastModifiedBy>Mytkevych Yurii</cp:lastModifiedBy>
  <cp:revision>3</cp:revision>
  <dcterms:created xsi:type="dcterms:W3CDTF">2023-03-19T21:00:00Z</dcterms:created>
  <dcterms:modified xsi:type="dcterms:W3CDTF">2023-03-20T16:55:00Z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0be19aa77e50f64d11a6a161c1888a10f80c65ec99b7dc0af1ec6f871f6e2c2b</vt:lpwstr>
  </property>
</Properties>
</file>