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28A7" w14:textId="77777777" w:rsidR="00D26AB1" w:rsidRPr="00D26AB1" w:rsidRDefault="00D26AB1" w:rsidP="00D26AB1">
      <w:pPr>
        <w:spacing w:line="264" w:lineRule="auto"/>
        <w:jc w:val="both"/>
        <w:rPr>
          <w:rFonts w:eastAsia="Times New Roman"/>
          <w:b/>
          <w:bCs/>
          <w:caps/>
          <w:noProof/>
          <w:color w:val="C2113A"/>
          <w:sz w:val="28"/>
          <w:szCs w:val="26"/>
        </w:rPr>
      </w:pPr>
      <w:bookmarkStart w:id="0" w:name="_Hlk77784176"/>
      <w:r w:rsidRPr="00D26AB1">
        <w:rPr>
          <w:rFonts w:eastAsia="Times New Roman"/>
          <w:b/>
          <w:bCs/>
          <w:caps/>
          <w:noProof/>
          <w:color w:val="C2113A"/>
          <w:sz w:val="28"/>
          <w:szCs w:val="26"/>
        </w:rPr>
        <w:t xml:space="preserve">Key Expert on REMIT Secondary Legislation </w:t>
      </w:r>
    </w:p>
    <w:p w14:paraId="6D2DAC87" w14:textId="1BE92434" w:rsidR="0076681D" w:rsidRDefault="0076681D" w:rsidP="008A6979">
      <w:pPr>
        <w:spacing w:line="264" w:lineRule="auto"/>
        <w:jc w:val="both"/>
        <w:rPr>
          <w:rFonts w:eastAsia="Times New Roman"/>
          <w:color w:val="auto"/>
          <w:lang w:eastAsia="ru-RU"/>
        </w:rPr>
      </w:pPr>
      <w:r>
        <w:rPr>
          <w:rFonts w:eastAsia="Times New Roman"/>
          <w:lang w:eastAsia="ru-RU"/>
        </w:rPr>
        <w:t>The Energy Security Project (ESP) is a five-year project funded by the United States Agency for International Development (USAID)</w:t>
      </w:r>
      <w:r>
        <w:rPr>
          <w:rFonts w:eastAsia="Times New Roman"/>
          <w:vertAlign w:val="superscript"/>
          <w:lang w:eastAsia="ru-RU"/>
        </w:rPr>
        <w:footnoteReference w:id="1"/>
      </w:r>
      <w:r>
        <w:rPr>
          <w:rFonts w:eastAsia="Times New Roman"/>
          <w:lang w:eastAsia="ru-RU"/>
        </w:rPr>
        <w:t xml:space="preserve"> and </w:t>
      </w:r>
      <w:r>
        <w:rPr>
          <w:rFonts w:eastAsia="Times New Roman" w:cs="Calibri"/>
          <w:lang w:eastAsia="ru-RU"/>
        </w:rPr>
        <w:t>the</w:t>
      </w:r>
      <w:r>
        <w:rPr>
          <w:rFonts w:eastAsia="Times New Roman"/>
          <w:lang w:eastAsia="ru-RU"/>
        </w:rPr>
        <w:t xml:space="preserve"> largest USAID project in Ukraine so far. The ESP is implemented by a USAID Contractor, Tetra Tech ES, Inc., a California-based leading provider of services in the areas of water, environment, infrastructure, resource management, energy, and international development.</w:t>
      </w:r>
      <w:r>
        <w:rPr>
          <w:rFonts w:eastAsia="Times New Roman"/>
          <w:vertAlign w:val="superscript"/>
          <w:lang w:eastAsia="ru-RU"/>
        </w:rPr>
        <w:footnoteReference w:id="2"/>
      </w:r>
      <w:r>
        <w:rPr>
          <w:rFonts w:eastAsia="Times New Roman"/>
          <w:lang w:eastAsia="ru-RU"/>
        </w:rPr>
        <w:t xml:space="preserve"> </w:t>
      </w:r>
    </w:p>
    <w:p w14:paraId="0C40A63D" w14:textId="77777777" w:rsidR="0076681D" w:rsidRDefault="0076681D" w:rsidP="008A6979">
      <w:pPr>
        <w:spacing w:line="264" w:lineRule="auto"/>
        <w:jc w:val="both"/>
        <w:rPr>
          <w:rFonts w:eastAsia="Times New Roman"/>
          <w:lang w:eastAsia="ru-RU"/>
        </w:rPr>
      </w:pPr>
      <w:r>
        <w:rPr>
          <w:rFonts w:eastAsia="Times New Roman"/>
          <w:lang w:eastAsia="ru-RU"/>
        </w:rPr>
        <w:t>The ESP mission is to enhance Ukraine’s energy security, improve the energy legal and regulatory environment in the country, and increase the resilience of Ukraine’s energy supply. This will help to support country’s economic development and sustain its democracy. ESP is working closely with the Government of Ukraine (GOU) to develop competitive energy markets. By doing so, ESP will facilitate private sector-led energy investments to provide affordable, reliable, resilient, and secure energy for all Ukrainians.</w:t>
      </w:r>
    </w:p>
    <w:p w14:paraId="27363AEB" w14:textId="226B9063" w:rsidR="0076681D" w:rsidRDefault="00A744E5" w:rsidP="008A6979">
      <w:pPr>
        <w:pStyle w:val="Heading2"/>
        <w:spacing w:line="264" w:lineRule="auto"/>
        <w:jc w:val="both"/>
        <w:rPr>
          <w:rFonts w:eastAsia="Times New Roman"/>
          <w:lang w:eastAsia="ru-RU"/>
        </w:rPr>
      </w:pPr>
      <w:bookmarkStart w:id="1" w:name="_Hlk57890498"/>
      <w:r>
        <w:rPr>
          <w:rFonts w:eastAsia="Times New Roman"/>
        </w:rPr>
        <w:t>Background:</w:t>
      </w:r>
    </w:p>
    <w:p w14:paraId="0CA5B5DE" w14:textId="77777777" w:rsidR="007434F6" w:rsidRPr="007434F6" w:rsidRDefault="007434F6" w:rsidP="007434F6">
      <w:pPr>
        <w:spacing w:after="0" w:line="264" w:lineRule="auto"/>
        <w:jc w:val="both"/>
        <w:rPr>
          <w:rFonts w:eastAsia="Times New Roman"/>
          <w:lang w:eastAsia="ru-RU"/>
        </w:rPr>
      </w:pPr>
      <w:r w:rsidRPr="007434F6">
        <w:rPr>
          <w:rFonts w:eastAsia="Times New Roman"/>
          <w:lang w:eastAsia="ru-RU"/>
        </w:rPr>
        <w:t>The ESP is assisting the Government of Ukraine (</w:t>
      </w:r>
      <w:proofErr w:type="spellStart"/>
      <w:r w:rsidRPr="007434F6">
        <w:rPr>
          <w:rFonts w:eastAsia="Times New Roman"/>
          <w:lang w:eastAsia="ru-RU"/>
        </w:rPr>
        <w:t>GoU</w:t>
      </w:r>
      <w:proofErr w:type="spellEnd"/>
      <w:r w:rsidRPr="007434F6">
        <w:rPr>
          <w:rFonts w:eastAsia="Times New Roman"/>
          <w:lang w:eastAsia="ru-RU"/>
        </w:rPr>
        <w:t>), the Ukraine’s national regulatory authority (NRA) in the energy sector entitled the National Energy and Utilities Regulatory Commission (NEURC), as well as all other relevant public stakeholders to establish and properly implement competitive energy markets in compliance with the European Union (EU) energy legislation (acquis), thereby enabling Ukraine to facilitate private sector-led energy investments, achieve the country’s clean energy and climate goals, and provide secure, sustainable, reliable and affordable energy for all Ukrainians.</w:t>
      </w:r>
    </w:p>
    <w:p w14:paraId="4C3EC93C" w14:textId="77777777" w:rsidR="007434F6" w:rsidRPr="007434F6" w:rsidRDefault="007434F6" w:rsidP="007434F6">
      <w:pPr>
        <w:spacing w:after="0" w:line="264" w:lineRule="auto"/>
        <w:jc w:val="both"/>
        <w:rPr>
          <w:rFonts w:eastAsia="Times New Roman"/>
          <w:lang w:eastAsia="ru-RU"/>
        </w:rPr>
      </w:pPr>
      <w:r w:rsidRPr="007434F6">
        <w:rPr>
          <w:rFonts w:eastAsia="Times New Roman"/>
          <w:lang w:eastAsia="ru-RU"/>
        </w:rPr>
        <w:t xml:space="preserve">Given the European integration aspirations of Ukraine, the recent shift to new market setup in electricity and gas generally based on the EU competitive market model, and the country’s mid-term plans to integrate its energy systems into the European ENTSO-E and ENTSO-G, ESP is assisting Ukraine in establishing a modern market monitoring and surveillance to be fully compliant with the EU Regulation on Wholesale Energy Market Integrity and Transparency (REMIT) framework. ESP is using a multi-pronged approach, developing a framework with key Ukrainian stakeholders, primarily the NEURC, but also including the Anti-Monopoly Committee of Ukraine, the National Securities and Stock Market Commission, the transmission system and market operators in electricity and gas sectors, and in close coordination with the Energy Community Secretariat, that addresses REMIT’s legislative, regulatory, institutional, </w:t>
      </w:r>
      <w:proofErr w:type="gramStart"/>
      <w:r w:rsidRPr="007434F6">
        <w:rPr>
          <w:rFonts w:eastAsia="Times New Roman"/>
          <w:lang w:eastAsia="ru-RU"/>
        </w:rPr>
        <w:t>organizational</w:t>
      </w:r>
      <w:proofErr w:type="gramEnd"/>
      <w:r w:rsidRPr="007434F6">
        <w:rPr>
          <w:rFonts w:eastAsia="Times New Roman"/>
          <w:lang w:eastAsia="ru-RU"/>
        </w:rPr>
        <w:t xml:space="preserve"> and methodological, and IT elements.</w:t>
      </w:r>
    </w:p>
    <w:p w14:paraId="1FBAE1FF" w14:textId="77777777" w:rsidR="007434F6" w:rsidRPr="007434F6" w:rsidRDefault="007434F6" w:rsidP="007434F6">
      <w:pPr>
        <w:spacing w:after="0" w:line="264" w:lineRule="auto"/>
        <w:jc w:val="both"/>
        <w:rPr>
          <w:rFonts w:eastAsia="Times New Roman"/>
          <w:lang w:eastAsia="ru-RU"/>
        </w:rPr>
      </w:pPr>
      <w:r w:rsidRPr="007434F6">
        <w:rPr>
          <w:rFonts w:eastAsia="Times New Roman"/>
          <w:lang w:eastAsia="ru-RU"/>
        </w:rPr>
        <w:t xml:space="preserve">Currently, the draft REMIT bill is contemplated by the </w:t>
      </w:r>
      <w:proofErr w:type="spellStart"/>
      <w:r w:rsidRPr="007434F6">
        <w:rPr>
          <w:rFonts w:eastAsia="Times New Roman"/>
          <w:lang w:eastAsia="ru-RU"/>
        </w:rPr>
        <w:t>Verkhovna</w:t>
      </w:r>
      <w:proofErr w:type="spellEnd"/>
      <w:r w:rsidRPr="007434F6">
        <w:rPr>
          <w:rFonts w:eastAsia="Times New Roman"/>
          <w:lang w:eastAsia="ru-RU"/>
        </w:rPr>
        <w:t xml:space="preserve"> Rada of Ukraine. Its adoption will boost establishment of the facilitating primary legislative environment for creation of REMIT-compatible framework.</w:t>
      </w:r>
    </w:p>
    <w:p w14:paraId="020EA113" w14:textId="5F7CB1AD" w:rsidR="00A744E5" w:rsidRDefault="007434F6" w:rsidP="007434F6">
      <w:pPr>
        <w:spacing w:after="0" w:line="264" w:lineRule="auto"/>
        <w:jc w:val="both"/>
        <w:rPr>
          <w:rFonts w:cs="Calibri"/>
        </w:rPr>
      </w:pPr>
      <w:r w:rsidRPr="007434F6">
        <w:rPr>
          <w:rFonts w:eastAsia="Times New Roman"/>
          <w:lang w:eastAsia="ru-RU"/>
        </w:rPr>
        <w:t xml:space="preserve">Amongst others, ESP produced a gap analysis of the REMIT-related secondary regulations for the NEURC, identifying the gaps in the framework for implementing REMIT and proposed appropriate comprehensive roadmap. It also conducted </w:t>
      </w:r>
      <w:proofErr w:type="gramStart"/>
      <w:r w:rsidRPr="007434F6">
        <w:rPr>
          <w:rFonts w:eastAsia="Times New Roman"/>
          <w:lang w:eastAsia="ru-RU"/>
        </w:rPr>
        <w:t>a number of</w:t>
      </w:r>
      <w:proofErr w:type="gramEnd"/>
      <w:r w:rsidRPr="007434F6">
        <w:rPr>
          <w:rFonts w:eastAsia="Times New Roman"/>
          <w:lang w:eastAsia="ru-RU"/>
        </w:rPr>
        <w:t xml:space="preserve"> workshops for the NEURC and other organizations in Ukraine on some key elements of REMIT compliance. Finally, it also supports </w:t>
      </w:r>
      <w:r w:rsidRPr="007434F6">
        <w:rPr>
          <w:rFonts w:eastAsia="Times New Roman"/>
          <w:lang w:eastAsia="ru-RU"/>
        </w:rPr>
        <w:lastRenderedPageBreak/>
        <w:t>establishment of the necessary IT systems for Ukraine to be fully compliant and compatible with REMIT, ACER, and ECRB requirements, including possessing the regulatory information system (RIS), the insider information platform (IIP), and the market surveillance system (MSS) at the NEURC, as well as the registered reporting mechanisms (RRMs) at the energy transmission system and market operators.</w:t>
      </w:r>
    </w:p>
    <w:p w14:paraId="029CD807" w14:textId="77777777" w:rsidR="007434F6" w:rsidRDefault="007434F6" w:rsidP="007434F6">
      <w:pPr>
        <w:autoSpaceDE w:val="0"/>
        <w:autoSpaceDN w:val="0"/>
        <w:adjustRightInd w:val="0"/>
        <w:spacing w:after="0" w:line="240" w:lineRule="auto"/>
        <w:jc w:val="both"/>
        <w:rPr>
          <w:rFonts w:eastAsia="Times New Roman"/>
          <w:b/>
          <w:bCs/>
          <w:caps/>
          <w:color w:val="auto"/>
          <w:sz w:val="20"/>
        </w:rPr>
      </w:pPr>
    </w:p>
    <w:p w14:paraId="7F45CE3B" w14:textId="2D326D6E" w:rsidR="007434F6" w:rsidRPr="007434F6" w:rsidRDefault="007434F6" w:rsidP="007434F6">
      <w:pPr>
        <w:autoSpaceDE w:val="0"/>
        <w:autoSpaceDN w:val="0"/>
        <w:adjustRightInd w:val="0"/>
        <w:spacing w:after="0" w:line="240" w:lineRule="auto"/>
        <w:jc w:val="both"/>
        <w:rPr>
          <w:rFonts w:eastAsia="Times New Roman"/>
          <w:b/>
          <w:bCs/>
          <w:caps/>
          <w:color w:val="auto"/>
          <w:sz w:val="20"/>
        </w:rPr>
      </w:pPr>
      <w:r w:rsidRPr="007434F6">
        <w:rPr>
          <w:rFonts w:eastAsia="Times New Roman"/>
          <w:b/>
          <w:bCs/>
          <w:caps/>
          <w:color w:val="auto"/>
          <w:sz w:val="20"/>
        </w:rPr>
        <w:t>Position Summary:</w:t>
      </w:r>
    </w:p>
    <w:p w14:paraId="295DFD8A" w14:textId="77777777" w:rsidR="007434F6" w:rsidRPr="007434F6" w:rsidRDefault="007434F6" w:rsidP="007434F6">
      <w:pPr>
        <w:spacing w:after="0" w:line="264" w:lineRule="auto"/>
        <w:jc w:val="both"/>
        <w:rPr>
          <w:rFonts w:cs="Calibri"/>
        </w:rPr>
      </w:pPr>
      <w:r w:rsidRPr="007434F6">
        <w:rPr>
          <w:rFonts w:cs="Calibri"/>
        </w:rPr>
        <w:t xml:space="preserve">Tetra Tech ES, Inc., implementing the USAID Energy Security Project (ESP) is looking to hire an experienced individual who will assist the ESP and the Ukrainian stakeholders, primarily, the NEURC and the energy operators, in planning, discussing, developing, drafting, </w:t>
      </w:r>
      <w:proofErr w:type="gramStart"/>
      <w:r w:rsidRPr="007434F6">
        <w:rPr>
          <w:rFonts w:cs="Calibri"/>
        </w:rPr>
        <w:t>consulting</w:t>
      </w:r>
      <w:proofErr w:type="gramEnd"/>
      <w:r w:rsidRPr="007434F6">
        <w:rPr>
          <w:rFonts w:cs="Calibri"/>
        </w:rPr>
        <w:t xml:space="preserve"> and adopting all elements of the secondary legislation, organizational frameworks, business processes etc., implementing EU-compliant REMIT in actual practice. </w:t>
      </w:r>
      <w:r w:rsidRPr="007434F6">
        <w:rPr>
          <w:rFonts w:cs="Calibri"/>
          <w:bCs/>
        </w:rPr>
        <w:t>This is a full-time or short-term consultancy position for the period of six months with the possibility of extension up to two years, conditioned by the candidate’s performance.</w:t>
      </w:r>
    </w:p>
    <w:p w14:paraId="506A7517" w14:textId="77777777" w:rsidR="00EA661E" w:rsidRDefault="00EA661E" w:rsidP="00EA661E">
      <w:pPr>
        <w:spacing w:after="0" w:line="264" w:lineRule="auto"/>
        <w:jc w:val="center"/>
        <w:rPr>
          <w:rFonts w:eastAsia="Times New Roman"/>
          <w:lang w:eastAsia="ru-RU"/>
        </w:rPr>
      </w:pPr>
    </w:p>
    <w:p w14:paraId="39A5495F" w14:textId="4CFF486C" w:rsidR="0076681D" w:rsidRDefault="00A744E5" w:rsidP="00EA661E">
      <w:pPr>
        <w:spacing w:after="0" w:line="264" w:lineRule="auto"/>
        <w:jc w:val="both"/>
        <w:rPr>
          <w:rFonts w:eastAsia="Times New Roman"/>
          <w:b/>
          <w:bCs/>
          <w:caps/>
          <w:color w:val="auto"/>
          <w:sz w:val="20"/>
        </w:rPr>
      </w:pPr>
      <w:r>
        <w:rPr>
          <w:rFonts w:eastAsia="Times New Roman"/>
          <w:b/>
          <w:bCs/>
          <w:caps/>
          <w:color w:val="auto"/>
          <w:sz w:val="20"/>
        </w:rPr>
        <w:t>TASKS:</w:t>
      </w:r>
    </w:p>
    <w:p w14:paraId="7FF68DDD" w14:textId="77777777" w:rsidR="007434F6" w:rsidRPr="007434F6" w:rsidRDefault="007434F6" w:rsidP="007434F6">
      <w:pPr>
        <w:spacing w:after="0" w:line="264" w:lineRule="auto"/>
        <w:jc w:val="both"/>
        <w:rPr>
          <w:rFonts w:cs="Calibri"/>
        </w:rPr>
      </w:pPr>
      <w:r w:rsidRPr="007434F6">
        <w:rPr>
          <w:rFonts w:cs="Calibri"/>
        </w:rPr>
        <w:t>At this stage, it is forecast that as minimum these elements of the secondary legislation will need to be adopted by NEURC and assisted by the individual mentioned above:</w:t>
      </w:r>
    </w:p>
    <w:tbl>
      <w:tblPr>
        <w:tblStyle w:val="TableGrid1"/>
        <w:tblpPr w:leftFromText="180" w:rightFromText="180" w:vertAnchor="text" w:horzAnchor="margin" w:tblpY="3"/>
        <w:tblW w:w="9085" w:type="dxa"/>
        <w:tblLayout w:type="fixed"/>
        <w:tblLook w:val="04A0" w:firstRow="1" w:lastRow="0" w:firstColumn="1" w:lastColumn="0" w:noHBand="0" w:noVBand="1"/>
      </w:tblPr>
      <w:tblGrid>
        <w:gridCol w:w="459"/>
        <w:gridCol w:w="8626"/>
      </w:tblGrid>
      <w:tr w:rsidR="007434F6" w:rsidRPr="007434F6" w14:paraId="4C84DF56" w14:textId="77777777" w:rsidTr="007434F6">
        <w:tc>
          <w:tcPr>
            <w:tcW w:w="459" w:type="dxa"/>
          </w:tcPr>
          <w:p w14:paraId="30AD662D" w14:textId="77777777" w:rsidR="007434F6" w:rsidRPr="007434F6" w:rsidRDefault="007434F6" w:rsidP="007434F6">
            <w:pPr>
              <w:spacing w:after="160" w:line="259" w:lineRule="auto"/>
              <w:rPr>
                <w:rFonts w:eastAsia="Calibri" w:cs="Calibri"/>
                <w:b/>
                <w:bCs/>
                <w:color w:val="6C6463" w:themeColor="accent4"/>
                <w:lang w:val="ru-RU"/>
              </w:rPr>
            </w:pPr>
            <w:r w:rsidRPr="007434F6">
              <w:rPr>
                <w:rFonts w:eastAsia="Calibri" w:cs="Calibri"/>
                <w:b/>
                <w:bCs/>
                <w:color w:val="6C6463" w:themeColor="accent4"/>
                <w:lang w:val="ru-RU"/>
              </w:rPr>
              <w:t>1</w:t>
            </w:r>
          </w:p>
        </w:tc>
        <w:tc>
          <w:tcPr>
            <w:tcW w:w="8626" w:type="dxa"/>
          </w:tcPr>
          <w:p w14:paraId="07358ED0" w14:textId="77777777" w:rsidR="007434F6" w:rsidRPr="007434F6" w:rsidRDefault="007434F6" w:rsidP="007434F6">
            <w:pPr>
              <w:spacing w:after="160" w:line="259" w:lineRule="auto"/>
              <w:rPr>
                <w:rFonts w:eastAsia="Calibri" w:cs="Calibri"/>
                <w:b/>
                <w:bCs/>
                <w:color w:val="6C6463" w:themeColor="accent4"/>
              </w:rPr>
            </w:pPr>
            <w:r w:rsidRPr="007434F6">
              <w:rPr>
                <w:rFonts w:eastAsia="Calibri" w:cs="Calibri"/>
                <w:b/>
                <w:bCs/>
                <w:color w:val="6C6463" w:themeColor="accent4"/>
              </w:rPr>
              <w:t xml:space="preserve">Procedure for registration of market participants </w:t>
            </w:r>
          </w:p>
          <w:p w14:paraId="2CB47976" w14:textId="77777777" w:rsidR="007434F6" w:rsidRPr="007434F6" w:rsidRDefault="007434F6" w:rsidP="007434F6">
            <w:pPr>
              <w:spacing w:after="160" w:line="259" w:lineRule="auto"/>
              <w:rPr>
                <w:rFonts w:eastAsia="Calibri" w:cs="Calibri"/>
                <w:color w:val="6C6463" w:themeColor="accent4"/>
              </w:rPr>
            </w:pPr>
            <w:r w:rsidRPr="007434F6">
              <w:rPr>
                <w:rFonts w:eastAsia="Calibri" w:cs="Calibri"/>
                <w:color w:val="6C6463" w:themeColor="accent4"/>
              </w:rPr>
              <w:t>Registration format consists of data related to:</w:t>
            </w:r>
          </w:p>
          <w:p w14:paraId="22A46AAD" w14:textId="1CC36768" w:rsidR="007434F6" w:rsidRPr="007434F6" w:rsidRDefault="007434F6" w:rsidP="007434F6">
            <w:pPr>
              <w:pStyle w:val="ListParagraph"/>
              <w:numPr>
                <w:ilvl w:val="0"/>
                <w:numId w:val="25"/>
              </w:numPr>
              <w:spacing w:after="160" w:line="259" w:lineRule="auto"/>
              <w:rPr>
                <w:rFonts w:ascii="Gill Sans MT" w:eastAsia="Calibri" w:hAnsi="Gill Sans MT" w:cs="Calibri"/>
                <w:color w:val="6C6463" w:themeColor="accent4"/>
                <w:sz w:val="22"/>
              </w:rPr>
            </w:pPr>
            <w:r w:rsidRPr="007434F6">
              <w:rPr>
                <w:rFonts w:ascii="Gill Sans MT" w:eastAsia="Calibri" w:hAnsi="Gill Sans MT" w:cs="Calibri"/>
                <w:color w:val="6C6463" w:themeColor="accent4"/>
                <w:sz w:val="22"/>
              </w:rPr>
              <w:t>Market participants,</w:t>
            </w:r>
          </w:p>
          <w:p w14:paraId="189D3B47" w14:textId="316BEE18" w:rsidR="007434F6" w:rsidRPr="007434F6" w:rsidRDefault="007434F6" w:rsidP="007434F6">
            <w:pPr>
              <w:pStyle w:val="ListParagraph"/>
              <w:numPr>
                <w:ilvl w:val="0"/>
                <w:numId w:val="25"/>
              </w:numPr>
              <w:spacing w:after="160" w:line="259" w:lineRule="auto"/>
              <w:rPr>
                <w:rFonts w:ascii="Gill Sans MT" w:eastAsia="Calibri" w:hAnsi="Gill Sans MT" w:cs="Calibri"/>
                <w:color w:val="6C6463" w:themeColor="accent4"/>
                <w:sz w:val="22"/>
              </w:rPr>
            </w:pPr>
            <w:r w:rsidRPr="007434F6">
              <w:rPr>
                <w:rFonts w:ascii="Gill Sans MT" w:eastAsia="Calibri" w:hAnsi="Gill Sans MT" w:cs="Calibri"/>
                <w:color w:val="6C6463" w:themeColor="accent4"/>
                <w:sz w:val="22"/>
              </w:rPr>
              <w:t xml:space="preserve">Natural persons linked to the market participants; </w:t>
            </w:r>
          </w:p>
          <w:p w14:paraId="62F7D0C2" w14:textId="32D8442B" w:rsidR="007434F6" w:rsidRPr="007434F6" w:rsidRDefault="007434F6" w:rsidP="007434F6">
            <w:pPr>
              <w:pStyle w:val="ListParagraph"/>
              <w:numPr>
                <w:ilvl w:val="0"/>
                <w:numId w:val="25"/>
              </w:numPr>
              <w:spacing w:after="160" w:line="259" w:lineRule="auto"/>
              <w:rPr>
                <w:rFonts w:ascii="Gill Sans MT" w:eastAsia="Calibri" w:hAnsi="Gill Sans MT" w:cs="Calibri"/>
                <w:color w:val="6C6463" w:themeColor="accent4"/>
                <w:sz w:val="22"/>
              </w:rPr>
            </w:pPr>
            <w:r w:rsidRPr="007434F6">
              <w:rPr>
                <w:rFonts w:ascii="Gill Sans MT" w:eastAsia="Calibri" w:hAnsi="Gill Sans MT" w:cs="Calibri"/>
                <w:color w:val="6C6463" w:themeColor="accent4"/>
                <w:sz w:val="22"/>
              </w:rPr>
              <w:t xml:space="preserve">Ultimate controllers or beneficiaries of the market participants; </w:t>
            </w:r>
          </w:p>
          <w:p w14:paraId="581084A2" w14:textId="1B640BB2" w:rsidR="007434F6" w:rsidRPr="007434F6" w:rsidRDefault="007434F6" w:rsidP="007434F6">
            <w:pPr>
              <w:pStyle w:val="ListParagraph"/>
              <w:numPr>
                <w:ilvl w:val="0"/>
                <w:numId w:val="25"/>
              </w:numPr>
              <w:spacing w:after="160" w:line="259" w:lineRule="auto"/>
              <w:rPr>
                <w:rFonts w:ascii="Gill Sans MT" w:eastAsia="Calibri" w:hAnsi="Gill Sans MT" w:cs="Calibri"/>
                <w:color w:val="6C6463" w:themeColor="accent4"/>
                <w:sz w:val="22"/>
              </w:rPr>
            </w:pPr>
            <w:r w:rsidRPr="007434F6">
              <w:rPr>
                <w:rFonts w:ascii="Gill Sans MT" w:eastAsia="Calibri" w:hAnsi="Gill Sans MT" w:cs="Calibri"/>
                <w:color w:val="6C6463" w:themeColor="accent4"/>
                <w:sz w:val="22"/>
              </w:rPr>
              <w:t xml:space="preserve">The corporate structures of the market participants; </w:t>
            </w:r>
          </w:p>
          <w:p w14:paraId="0CBD12BF" w14:textId="4375F1BC" w:rsidR="007434F6" w:rsidRPr="007434F6" w:rsidRDefault="007434F6" w:rsidP="007434F6">
            <w:pPr>
              <w:pStyle w:val="ListParagraph"/>
              <w:numPr>
                <w:ilvl w:val="0"/>
                <w:numId w:val="25"/>
              </w:numPr>
              <w:spacing w:after="160" w:line="259" w:lineRule="auto"/>
              <w:rPr>
                <w:rFonts w:eastAsia="Calibri" w:cs="Calibri"/>
                <w:b/>
                <w:bCs/>
                <w:color w:val="6C6463" w:themeColor="accent4"/>
              </w:rPr>
            </w:pPr>
            <w:r w:rsidRPr="007434F6">
              <w:rPr>
                <w:rFonts w:ascii="Gill Sans MT" w:eastAsia="Calibri" w:hAnsi="Gill Sans MT" w:cs="Calibri"/>
                <w:color w:val="6C6463" w:themeColor="accent4"/>
                <w:sz w:val="22"/>
              </w:rPr>
              <w:t>Delegated parties for reporting on behalf of market participants, etc.;</w:t>
            </w:r>
          </w:p>
        </w:tc>
      </w:tr>
      <w:tr w:rsidR="007434F6" w:rsidRPr="007434F6" w14:paraId="2183C900" w14:textId="77777777" w:rsidTr="007434F6">
        <w:tc>
          <w:tcPr>
            <w:tcW w:w="459" w:type="dxa"/>
          </w:tcPr>
          <w:p w14:paraId="2078B7B1" w14:textId="77777777" w:rsidR="007434F6" w:rsidRPr="007434F6" w:rsidRDefault="007434F6" w:rsidP="007434F6">
            <w:pPr>
              <w:spacing w:after="160" w:line="259" w:lineRule="auto"/>
              <w:rPr>
                <w:rFonts w:eastAsia="Calibri" w:cs="Calibri"/>
                <w:b/>
                <w:bCs/>
                <w:color w:val="6C6463" w:themeColor="accent4"/>
                <w:lang w:val="ru-RU"/>
              </w:rPr>
            </w:pPr>
            <w:r w:rsidRPr="007434F6">
              <w:rPr>
                <w:rFonts w:eastAsia="Calibri" w:cs="Calibri"/>
                <w:b/>
                <w:bCs/>
                <w:color w:val="6C6463" w:themeColor="accent4"/>
                <w:lang w:val="ru-RU"/>
              </w:rPr>
              <w:t>2</w:t>
            </w:r>
          </w:p>
        </w:tc>
        <w:tc>
          <w:tcPr>
            <w:tcW w:w="8626" w:type="dxa"/>
          </w:tcPr>
          <w:p w14:paraId="522BC5C9" w14:textId="77777777" w:rsidR="007434F6" w:rsidRPr="007434F6" w:rsidRDefault="007434F6" w:rsidP="007434F6">
            <w:pPr>
              <w:spacing w:after="160" w:line="259" w:lineRule="auto"/>
              <w:rPr>
                <w:rFonts w:eastAsia="Calibri" w:cs="Calibri"/>
                <w:b/>
                <w:bCs/>
                <w:color w:val="6C6463" w:themeColor="accent4"/>
              </w:rPr>
            </w:pPr>
            <w:r w:rsidRPr="007434F6">
              <w:rPr>
                <w:rFonts w:eastAsia="Calibri" w:cs="Calibri"/>
                <w:b/>
                <w:bCs/>
                <w:color w:val="6C6463" w:themeColor="accent4"/>
              </w:rPr>
              <w:t xml:space="preserve">Procedure for trade and fundamental data reporting </w:t>
            </w:r>
          </w:p>
          <w:p w14:paraId="744F8A9B" w14:textId="751867D2" w:rsidR="007434F6" w:rsidRPr="007434F6" w:rsidRDefault="007434F6" w:rsidP="007434F6">
            <w:pPr>
              <w:pStyle w:val="ListParagraph"/>
              <w:numPr>
                <w:ilvl w:val="0"/>
                <w:numId w:val="27"/>
              </w:numPr>
              <w:spacing w:after="160" w:line="259" w:lineRule="auto"/>
              <w:rPr>
                <w:rFonts w:ascii="Gill Sans MT" w:eastAsia="Calibri" w:hAnsi="Gill Sans MT" w:cs="Calibri"/>
                <w:color w:val="6C6463" w:themeColor="accent4"/>
                <w:sz w:val="22"/>
              </w:rPr>
            </w:pPr>
            <w:r w:rsidRPr="007434F6">
              <w:rPr>
                <w:rFonts w:ascii="Gill Sans MT" w:eastAsia="Calibri" w:hAnsi="Gill Sans MT" w:cs="Calibri"/>
                <w:color w:val="6C6463" w:themeColor="accent4"/>
                <w:sz w:val="22"/>
              </w:rPr>
              <w:t>Procedures, standards, and electronic formats for both data transaction and fundamental data reporting;</w:t>
            </w:r>
          </w:p>
          <w:p w14:paraId="2A854D4D" w14:textId="45ECF791" w:rsidR="007434F6" w:rsidRPr="007434F6" w:rsidRDefault="007434F6" w:rsidP="007434F6">
            <w:pPr>
              <w:pStyle w:val="ListParagraph"/>
              <w:numPr>
                <w:ilvl w:val="0"/>
                <w:numId w:val="27"/>
              </w:numPr>
              <w:spacing w:after="160" w:line="259" w:lineRule="auto"/>
              <w:rPr>
                <w:rFonts w:ascii="Gill Sans MT" w:eastAsia="Calibri" w:hAnsi="Gill Sans MT" w:cs="Calibri"/>
                <w:color w:val="6C6463" w:themeColor="accent4"/>
                <w:sz w:val="22"/>
              </w:rPr>
            </w:pPr>
            <w:r w:rsidRPr="007434F6">
              <w:rPr>
                <w:rFonts w:ascii="Gill Sans MT" w:eastAsia="Calibri" w:hAnsi="Gill Sans MT" w:cs="Calibri"/>
                <w:color w:val="6C6463" w:themeColor="accent4"/>
                <w:sz w:val="22"/>
              </w:rPr>
              <w:t xml:space="preserve">A list of the contracts and derivatives, including orders to trade, which are to be reported; </w:t>
            </w:r>
          </w:p>
          <w:p w14:paraId="56F35984" w14:textId="576B16BA" w:rsidR="007434F6" w:rsidRPr="007434F6" w:rsidRDefault="007434F6" w:rsidP="007434F6">
            <w:pPr>
              <w:pStyle w:val="ListParagraph"/>
              <w:numPr>
                <w:ilvl w:val="0"/>
                <w:numId w:val="27"/>
              </w:numPr>
              <w:spacing w:after="160" w:line="259" w:lineRule="auto"/>
              <w:rPr>
                <w:rFonts w:ascii="Gill Sans MT" w:eastAsia="Calibri" w:hAnsi="Gill Sans MT" w:cs="Calibri"/>
                <w:color w:val="6C6463" w:themeColor="accent4"/>
                <w:sz w:val="22"/>
              </w:rPr>
            </w:pPr>
            <w:r w:rsidRPr="007434F6">
              <w:rPr>
                <w:rFonts w:ascii="Gill Sans MT" w:eastAsia="Calibri" w:hAnsi="Gill Sans MT" w:cs="Calibri"/>
                <w:color w:val="6C6463" w:themeColor="accent4"/>
                <w:sz w:val="22"/>
              </w:rPr>
              <w:t xml:space="preserve">Uniform rules on the reporting of information; </w:t>
            </w:r>
          </w:p>
          <w:p w14:paraId="50BDEEED" w14:textId="654D5451" w:rsidR="007434F6" w:rsidRPr="007434F6" w:rsidRDefault="007434F6" w:rsidP="007434F6">
            <w:pPr>
              <w:pStyle w:val="ListParagraph"/>
              <w:numPr>
                <w:ilvl w:val="0"/>
                <w:numId w:val="27"/>
              </w:numPr>
              <w:spacing w:after="160" w:line="259" w:lineRule="auto"/>
              <w:rPr>
                <w:rFonts w:eastAsia="Calibri" w:cs="Calibri"/>
                <w:b/>
                <w:bCs/>
                <w:color w:val="6C6463" w:themeColor="accent4"/>
              </w:rPr>
            </w:pPr>
            <w:r w:rsidRPr="007434F6">
              <w:rPr>
                <w:rFonts w:ascii="Gill Sans MT" w:eastAsia="Calibri" w:hAnsi="Gill Sans MT" w:cs="Calibri"/>
                <w:color w:val="6C6463" w:themeColor="accent4"/>
                <w:sz w:val="22"/>
              </w:rPr>
              <w:t>Timing and form in which that information is to be reported, etc.;</w:t>
            </w:r>
          </w:p>
        </w:tc>
      </w:tr>
      <w:tr w:rsidR="007434F6" w:rsidRPr="007434F6" w14:paraId="66D941DA" w14:textId="77777777" w:rsidTr="007434F6">
        <w:tc>
          <w:tcPr>
            <w:tcW w:w="459" w:type="dxa"/>
          </w:tcPr>
          <w:p w14:paraId="57C2C2BD" w14:textId="77777777" w:rsidR="007434F6" w:rsidRPr="007434F6" w:rsidRDefault="007434F6" w:rsidP="007434F6">
            <w:pPr>
              <w:spacing w:after="160" w:line="259" w:lineRule="auto"/>
              <w:rPr>
                <w:rFonts w:eastAsia="Calibri" w:cs="Calibri"/>
                <w:b/>
                <w:bCs/>
                <w:color w:val="6C6463" w:themeColor="accent4"/>
                <w:lang w:val="ru-RU"/>
              </w:rPr>
            </w:pPr>
            <w:r w:rsidRPr="007434F6">
              <w:rPr>
                <w:rFonts w:eastAsia="Calibri" w:cs="Calibri"/>
                <w:b/>
                <w:bCs/>
                <w:color w:val="6C6463" w:themeColor="accent4"/>
                <w:lang w:val="ru-RU"/>
              </w:rPr>
              <w:t>3</w:t>
            </w:r>
          </w:p>
        </w:tc>
        <w:tc>
          <w:tcPr>
            <w:tcW w:w="8626" w:type="dxa"/>
          </w:tcPr>
          <w:p w14:paraId="65B5C046" w14:textId="77777777" w:rsidR="007434F6" w:rsidRPr="007434F6" w:rsidRDefault="007434F6" w:rsidP="007434F6">
            <w:pPr>
              <w:spacing w:after="160" w:line="259" w:lineRule="auto"/>
              <w:rPr>
                <w:rFonts w:eastAsia="Calibri" w:cs="Calibri"/>
                <w:b/>
                <w:bCs/>
                <w:color w:val="6C6463" w:themeColor="accent4"/>
              </w:rPr>
            </w:pPr>
            <w:r w:rsidRPr="007434F6">
              <w:rPr>
                <w:rFonts w:eastAsia="Calibri" w:cs="Calibri"/>
                <w:b/>
                <w:bCs/>
                <w:color w:val="6C6463" w:themeColor="accent4"/>
              </w:rPr>
              <w:t xml:space="preserve">Reporting information on bilateral contracts </w:t>
            </w:r>
          </w:p>
          <w:p w14:paraId="089E21B0" w14:textId="0A4865BA" w:rsidR="007434F6" w:rsidRPr="007434F6" w:rsidRDefault="007434F6" w:rsidP="007434F6">
            <w:pPr>
              <w:pStyle w:val="ListParagraph"/>
              <w:numPr>
                <w:ilvl w:val="0"/>
                <w:numId w:val="29"/>
              </w:numPr>
              <w:spacing w:after="160" w:line="259" w:lineRule="auto"/>
              <w:rPr>
                <w:rFonts w:ascii="Gill Sans MT" w:eastAsia="Calibri" w:hAnsi="Gill Sans MT" w:cs="Calibri"/>
                <w:color w:val="6C6463" w:themeColor="accent4"/>
                <w:sz w:val="22"/>
              </w:rPr>
            </w:pPr>
            <w:r w:rsidRPr="007434F6">
              <w:rPr>
                <w:rFonts w:ascii="Gill Sans MT" w:eastAsia="Calibri" w:hAnsi="Gill Sans MT" w:cs="Calibri"/>
                <w:color w:val="6C6463" w:themeColor="accent4"/>
                <w:sz w:val="22"/>
              </w:rPr>
              <w:t xml:space="preserve">Scope of information and procedure of reporting; </w:t>
            </w:r>
          </w:p>
          <w:p w14:paraId="357F11C3" w14:textId="09535CD1" w:rsidR="007434F6" w:rsidRPr="007434F6" w:rsidRDefault="007434F6" w:rsidP="007434F6">
            <w:pPr>
              <w:pStyle w:val="ListParagraph"/>
              <w:numPr>
                <w:ilvl w:val="0"/>
                <w:numId w:val="29"/>
              </w:numPr>
              <w:spacing w:after="160" w:line="259" w:lineRule="auto"/>
              <w:rPr>
                <w:rFonts w:eastAsia="Calibri" w:cs="Calibri"/>
                <w:b/>
                <w:bCs/>
                <w:color w:val="6C6463" w:themeColor="accent4"/>
              </w:rPr>
            </w:pPr>
            <w:r w:rsidRPr="007434F6">
              <w:rPr>
                <w:rFonts w:ascii="Gill Sans MT" w:eastAsia="Calibri" w:hAnsi="Gill Sans MT" w:cs="Calibri"/>
                <w:color w:val="6C6463" w:themeColor="accent4"/>
                <w:sz w:val="22"/>
              </w:rPr>
              <w:t>Reporting on bilateral contracts;</w:t>
            </w:r>
          </w:p>
        </w:tc>
      </w:tr>
      <w:tr w:rsidR="007434F6" w:rsidRPr="007434F6" w14:paraId="5D48B374" w14:textId="77777777" w:rsidTr="007434F6">
        <w:tc>
          <w:tcPr>
            <w:tcW w:w="459" w:type="dxa"/>
          </w:tcPr>
          <w:p w14:paraId="37C02422" w14:textId="77777777" w:rsidR="007434F6" w:rsidRPr="007434F6" w:rsidRDefault="007434F6" w:rsidP="007434F6">
            <w:pPr>
              <w:spacing w:after="160" w:line="259" w:lineRule="auto"/>
              <w:rPr>
                <w:rFonts w:eastAsia="Calibri" w:cs="Calibri"/>
                <w:b/>
                <w:bCs/>
                <w:color w:val="6C6463" w:themeColor="accent4"/>
                <w:lang w:val="ru-RU"/>
              </w:rPr>
            </w:pPr>
            <w:r w:rsidRPr="007434F6">
              <w:rPr>
                <w:rFonts w:eastAsia="Calibri" w:cs="Calibri"/>
                <w:b/>
                <w:bCs/>
                <w:color w:val="6C6463" w:themeColor="accent4"/>
                <w:lang w:val="ru-RU"/>
              </w:rPr>
              <w:t>4</w:t>
            </w:r>
          </w:p>
        </w:tc>
        <w:tc>
          <w:tcPr>
            <w:tcW w:w="8626" w:type="dxa"/>
          </w:tcPr>
          <w:p w14:paraId="61370152" w14:textId="77777777" w:rsidR="007434F6" w:rsidRPr="007434F6" w:rsidRDefault="007434F6" w:rsidP="007434F6">
            <w:pPr>
              <w:spacing w:after="160" w:line="259" w:lineRule="auto"/>
              <w:rPr>
                <w:rFonts w:eastAsia="Calibri" w:cs="Calibri"/>
                <w:b/>
                <w:bCs/>
                <w:color w:val="6C6463" w:themeColor="accent4"/>
              </w:rPr>
            </w:pPr>
            <w:r w:rsidRPr="007434F6">
              <w:rPr>
                <w:rFonts w:eastAsia="Calibri" w:cs="Calibri"/>
                <w:b/>
                <w:bCs/>
                <w:color w:val="6C6463" w:themeColor="accent4"/>
              </w:rPr>
              <w:t>Procedure on publishing the insider information</w:t>
            </w:r>
          </w:p>
          <w:p w14:paraId="163A7FE2" w14:textId="77777777" w:rsidR="007434F6" w:rsidRPr="007434F6" w:rsidRDefault="007434F6" w:rsidP="007434F6">
            <w:pPr>
              <w:spacing w:after="160" w:line="259" w:lineRule="auto"/>
              <w:jc w:val="both"/>
              <w:rPr>
                <w:rFonts w:eastAsia="Calibri" w:cs="Calibri"/>
                <w:color w:val="6C6463" w:themeColor="accent4"/>
              </w:rPr>
            </w:pPr>
            <w:r w:rsidRPr="007434F6">
              <w:rPr>
                <w:rFonts w:eastAsia="Calibri" w:cs="Calibri"/>
                <w:color w:val="6C6463" w:themeColor="accent4"/>
              </w:rPr>
              <w:t>To achieve the effective disclosure of the information, it shall be disclosed using a platform for the disclosure of inside information such as Inside Information Platform or IIP. There is a need for defining the frequency of reporting, electronic formats for the reporting of inside information; etc.</w:t>
            </w:r>
          </w:p>
        </w:tc>
      </w:tr>
      <w:tr w:rsidR="007434F6" w:rsidRPr="007434F6" w14:paraId="626AA8FD" w14:textId="77777777" w:rsidTr="007434F6">
        <w:tc>
          <w:tcPr>
            <w:tcW w:w="459" w:type="dxa"/>
          </w:tcPr>
          <w:p w14:paraId="49194561" w14:textId="77777777" w:rsidR="007434F6" w:rsidRPr="007434F6" w:rsidRDefault="007434F6" w:rsidP="007434F6">
            <w:pPr>
              <w:spacing w:after="160" w:line="259" w:lineRule="auto"/>
              <w:rPr>
                <w:rFonts w:eastAsia="Calibri" w:cs="Calibri"/>
                <w:b/>
                <w:bCs/>
                <w:color w:val="6C6463" w:themeColor="accent4"/>
                <w:lang w:val="ru-RU"/>
              </w:rPr>
            </w:pPr>
            <w:r w:rsidRPr="007434F6">
              <w:rPr>
                <w:rFonts w:eastAsia="Calibri" w:cs="Calibri"/>
                <w:b/>
                <w:bCs/>
                <w:color w:val="6C6463" w:themeColor="accent4"/>
                <w:lang w:val="ru-RU"/>
              </w:rPr>
              <w:t>5</w:t>
            </w:r>
          </w:p>
        </w:tc>
        <w:tc>
          <w:tcPr>
            <w:tcW w:w="8626" w:type="dxa"/>
          </w:tcPr>
          <w:p w14:paraId="698764B7" w14:textId="01A53FF2" w:rsidR="007434F6" w:rsidRPr="007434F6" w:rsidRDefault="007434F6" w:rsidP="007434F6">
            <w:pPr>
              <w:spacing w:after="160" w:line="259" w:lineRule="auto"/>
              <w:rPr>
                <w:rFonts w:eastAsia="Calibri" w:cs="Calibri"/>
                <w:b/>
                <w:bCs/>
                <w:color w:val="6C6463" w:themeColor="accent4"/>
              </w:rPr>
            </w:pPr>
            <w:r w:rsidRPr="007434F6">
              <w:rPr>
                <w:rFonts w:eastAsia="Calibri" w:cs="Calibri"/>
                <w:b/>
                <w:bCs/>
                <w:color w:val="6C6463" w:themeColor="accent4"/>
              </w:rPr>
              <w:t>Technical/organizational requirements for RRM</w:t>
            </w:r>
          </w:p>
          <w:p w14:paraId="0A2FAF74" w14:textId="77777777" w:rsidR="007434F6" w:rsidRPr="007434F6" w:rsidRDefault="007434F6" w:rsidP="007434F6">
            <w:pPr>
              <w:spacing w:after="160" w:line="259" w:lineRule="auto"/>
              <w:jc w:val="both"/>
              <w:rPr>
                <w:rFonts w:eastAsia="Calibri" w:cs="Calibri"/>
                <w:b/>
                <w:bCs/>
                <w:color w:val="6C6463" w:themeColor="accent4"/>
              </w:rPr>
            </w:pPr>
            <w:r w:rsidRPr="007434F6">
              <w:rPr>
                <w:rFonts w:eastAsia="Calibri" w:cs="Calibri"/>
                <w:color w:val="6C6463" w:themeColor="accent4"/>
              </w:rPr>
              <w:lastRenderedPageBreak/>
              <w:t>RRMs shall have the sound security mechanisms to guarantee the security of the means of transfer of information to the NEURC: ensure non-repudiation; minimize the risks of data corruption, of unauthorized access and shall prevent information leakages while reporting;</w:t>
            </w:r>
          </w:p>
        </w:tc>
      </w:tr>
      <w:tr w:rsidR="007434F6" w:rsidRPr="007434F6" w14:paraId="3723BE89" w14:textId="77777777" w:rsidTr="007434F6">
        <w:tc>
          <w:tcPr>
            <w:tcW w:w="459" w:type="dxa"/>
          </w:tcPr>
          <w:p w14:paraId="30E1E66D" w14:textId="77777777" w:rsidR="007434F6" w:rsidRPr="007434F6" w:rsidRDefault="007434F6" w:rsidP="007434F6">
            <w:pPr>
              <w:spacing w:after="160" w:line="259" w:lineRule="auto"/>
              <w:rPr>
                <w:rFonts w:eastAsia="Calibri" w:cs="Calibri"/>
                <w:b/>
                <w:bCs/>
                <w:color w:val="6C6463" w:themeColor="accent4"/>
                <w:lang w:val="ru-RU"/>
              </w:rPr>
            </w:pPr>
            <w:r w:rsidRPr="007434F6">
              <w:rPr>
                <w:rFonts w:eastAsia="Calibri" w:cs="Calibri"/>
                <w:b/>
                <w:bCs/>
                <w:color w:val="6C6463" w:themeColor="accent4"/>
                <w:lang w:val="ru-RU"/>
              </w:rPr>
              <w:lastRenderedPageBreak/>
              <w:t>6</w:t>
            </w:r>
          </w:p>
        </w:tc>
        <w:tc>
          <w:tcPr>
            <w:tcW w:w="8626" w:type="dxa"/>
          </w:tcPr>
          <w:p w14:paraId="6551A861" w14:textId="5E1C8315" w:rsidR="007434F6" w:rsidRPr="007434F6" w:rsidRDefault="007434F6" w:rsidP="007434F6">
            <w:pPr>
              <w:spacing w:after="160" w:line="259" w:lineRule="auto"/>
              <w:rPr>
                <w:rFonts w:eastAsia="Calibri" w:cs="Calibri"/>
                <w:b/>
                <w:bCs/>
                <w:color w:val="6C6463" w:themeColor="accent4"/>
              </w:rPr>
            </w:pPr>
            <w:r w:rsidRPr="007434F6">
              <w:rPr>
                <w:rFonts w:eastAsia="Calibri" w:cs="Calibri"/>
                <w:b/>
                <w:bCs/>
                <w:color w:val="6C6463" w:themeColor="accent4"/>
              </w:rPr>
              <w:t>Procedure and requirements for Register of RRMs</w:t>
            </w:r>
          </w:p>
          <w:p w14:paraId="08B587B4" w14:textId="77777777" w:rsidR="007434F6" w:rsidRPr="007434F6" w:rsidRDefault="007434F6" w:rsidP="007434F6">
            <w:pPr>
              <w:spacing w:after="160" w:line="259" w:lineRule="auto"/>
              <w:jc w:val="both"/>
              <w:rPr>
                <w:rFonts w:eastAsia="Calibri" w:cs="Calibri"/>
                <w:color w:val="6C6463" w:themeColor="accent4"/>
              </w:rPr>
            </w:pPr>
            <w:r w:rsidRPr="007434F6">
              <w:rPr>
                <w:rFonts w:eastAsia="Calibri" w:cs="Calibri"/>
                <w:color w:val="6C6463" w:themeColor="accent4"/>
              </w:rPr>
              <w:t>Verification of whether the applicant meets the RRM requirements and enabling the RRM and the Regulator to establish an interface for information exchange;</w:t>
            </w:r>
          </w:p>
        </w:tc>
      </w:tr>
      <w:tr w:rsidR="007434F6" w:rsidRPr="007434F6" w14:paraId="0C285C87" w14:textId="77777777" w:rsidTr="007434F6">
        <w:tc>
          <w:tcPr>
            <w:tcW w:w="459" w:type="dxa"/>
          </w:tcPr>
          <w:p w14:paraId="715165CF" w14:textId="77777777" w:rsidR="007434F6" w:rsidRPr="007434F6" w:rsidRDefault="007434F6" w:rsidP="007434F6">
            <w:pPr>
              <w:spacing w:after="160" w:line="259" w:lineRule="auto"/>
              <w:rPr>
                <w:rFonts w:eastAsia="Calibri" w:cs="Calibri"/>
                <w:b/>
                <w:bCs/>
                <w:color w:val="6C6463" w:themeColor="accent4"/>
                <w:lang w:val="ru-RU"/>
              </w:rPr>
            </w:pPr>
            <w:r w:rsidRPr="007434F6">
              <w:rPr>
                <w:rFonts w:eastAsia="Calibri" w:cs="Calibri"/>
                <w:b/>
                <w:bCs/>
                <w:color w:val="6C6463" w:themeColor="accent4"/>
                <w:lang w:val="ru-RU"/>
              </w:rPr>
              <w:t>7</w:t>
            </w:r>
          </w:p>
        </w:tc>
        <w:tc>
          <w:tcPr>
            <w:tcW w:w="8626" w:type="dxa"/>
          </w:tcPr>
          <w:p w14:paraId="5ABBA072" w14:textId="06DDAF93" w:rsidR="007434F6" w:rsidRPr="007434F6" w:rsidRDefault="007434F6" w:rsidP="007434F6">
            <w:pPr>
              <w:spacing w:after="160" w:line="259" w:lineRule="auto"/>
              <w:rPr>
                <w:rFonts w:eastAsia="Calibri" w:cs="Calibri"/>
                <w:b/>
                <w:bCs/>
                <w:color w:val="6C6463" w:themeColor="accent4"/>
              </w:rPr>
            </w:pPr>
            <w:r w:rsidRPr="007434F6">
              <w:rPr>
                <w:rFonts w:eastAsia="Calibri" w:cs="Calibri"/>
                <w:b/>
                <w:bCs/>
                <w:color w:val="6C6463" w:themeColor="accent4"/>
              </w:rPr>
              <w:t>Tariff methodology and procedure, including Cap prices for RRM service</w:t>
            </w:r>
          </w:p>
          <w:p w14:paraId="6B072521" w14:textId="77777777" w:rsidR="007434F6" w:rsidRPr="007434F6" w:rsidRDefault="007434F6" w:rsidP="007434F6">
            <w:pPr>
              <w:spacing w:after="160" w:line="259" w:lineRule="auto"/>
              <w:jc w:val="both"/>
              <w:rPr>
                <w:rFonts w:eastAsia="Calibri" w:cs="Calibri"/>
                <w:color w:val="6C6463" w:themeColor="accent4"/>
              </w:rPr>
            </w:pPr>
            <w:r w:rsidRPr="007434F6">
              <w:rPr>
                <w:rFonts w:eastAsia="Calibri" w:cs="Calibri"/>
                <w:color w:val="6C6463" w:themeColor="accent4"/>
              </w:rPr>
              <w:t>Duly covering CAPEX and OPEX and providing for equitable pricing for own data reporting and the one provided for third parties – market players is necessary;</w:t>
            </w:r>
          </w:p>
        </w:tc>
      </w:tr>
      <w:tr w:rsidR="007434F6" w:rsidRPr="007434F6" w14:paraId="059A3170" w14:textId="77777777" w:rsidTr="007434F6">
        <w:tc>
          <w:tcPr>
            <w:tcW w:w="459" w:type="dxa"/>
          </w:tcPr>
          <w:p w14:paraId="03724C23" w14:textId="77777777" w:rsidR="007434F6" w:rsidRPr="007434F6" w:rsidRDefault="007434F6" w:rsidP="007434F6">
            <w:pPr>
              <w:spacing w:after="160" w:line="259" w:lineRule="auto"/>
              <w:rPr>
                <w:rFonts w:eastAsia="Calibri" w:cs="Calibri"/>
                <w:b/>
                <w:bCs/>
                <w:color w:val="6C6463" w:themeColor="accent4"/>
                <w:lang w:val="ru-RU"/>
              </w:rPr>
            </w:pPr>
            <w:r w:rsidRPr="007434F6">
              <w:rPr>
                <w:rFonts w:eastAsia="Calibri" w:cs="Calibri"/>
                <w:b/>
                <w:bCs/>
                <w:color w:val="6C6463" w:themeColor="accent4"/>
                <w:lang w:val="ru-RU"/>
              </w:rPr>
              <w:t>8</w:t>
            </w:r>
          </w:p>
        </w:tc>
        <w:tc>
          <w:tcPr>
            <w:tcW w:w="8626" w:type="dxa"/>
          </w:tcPr>
          <w:p w14:paraId="52DF8AD1" w14:textId="77777777" w:rsidR="007434F6" w:rsidRPr="007434F6" w:rsidRDefault="007434F6" w:rsidP="007434F6">
            <w:pPr>
              <w:spacing w:after="160" w:line="259" w:lineRule="auto"/>
              <w:rPr>
                <w:rFonts w:eastAsia="Calibri" w:cs="Calibri"/>
                <w:b/>
                <w:bCs/>
                <w:color w:val="6C6463" w:themeColor="accent4"/>
              </w:rPr>
            </w:pPr>
            <w:r w:rsidRPr="007434F6">
              <w:rPr>
                <w:rFonts w:eastAsia="Calibri" w:cs="Calibri"/>
                <w:b/>
                <w:bCs/>
                <w:color w:val="6C6463" w:themeColor="accent4"/>
              </w:rPr>
              <w:t>Requirements for a market surveillance system for PPATs</w:t>
            </w:r>
          </w:p>
          <w:p w14:paraId="64DD654A" w14:textId="7C652E02" w:rsidR="007434F6" w:rsidRPr="007434F6" w:rsidRDefault="007434F6" w:rsidP="007434F6">
            <w:pPr>
              <w:pStyle w:val="ListParagraph"/>
              <w:numPr>
                <w:ilvl w:val="0"/>
                <w:numId w:val="31"/>
              </w:numPr>
              <w:spacing w:after="160" w:line="259" w:lineRule="auto"/>
              <w:rPr>
                <w:rFonts w:ascii="Gill Sans MT" w:eastAsia="Calibri" w:hAnsi="Gill Sans MT" w:cs="Calibri"/>
                <w:color w:val="6C6463" w:themeColor="accent4"/>
                <w:sz w:val="22"/>
              </w:rPr>
            </w:pPr>
            <w:r w:rsidRPr="007434F6">
              <w:rPr>
                <w:rFonts w:ascii="Gill Sans MT" w:eastAsia="Calibri" w:hAnsi="Gill Sans MT" w:cs="Calibri"/>
                <w:color w:val="6C6463" w:themeColor="accent4"/>
                <w:sz w:val="22"/>
              </w:rPr>
              <w:t xml:space="preserve">Approve the form for PPATs reporting of suspected breaches; </w:t>
            </w:r>
          </w:p>
          <w:p w14:paraId="1C83C145" w14:textId="62E7FEA3" w:rsidR="007434F6" w:rsidRPr="007434F6" w:rsidRDefault="007434F6" w:rsidP="007434F6">
            <w:pPr>
              <w:pStyle w:val="ListParagraph"/>
              <w:numPr>
                <w:ilvl w:val="0"/>
                <w:numId w:val="31"/>
              </w:numPr>
              <w:spacing w:after="160" w:line="259" w:lineRule="auto"/>
              <w:rPr>
                <w:rFonts w:eastAsia="Calibri" w:cs="Calibri"/>
                <w:b/>
                <w:bCs/>
                <w:color w:val="6C6463" w:themeColor="accent4"/>
              </w:rPr>
            </w:pPr>
            <w:r w:rsidRPr="007434F6">
              <w:rPr>
                <w:rFonts w:ascii="Gill Sans MT" w:eastAsia="Calibri" w:hAnsi="Gill Sans MT" w:cs="Calibri"/>
                <w:color w:val="6C6463" w:themeColor="accent4"/>
                <w:sz w:val="22"/>
              </w:rPr>
              <w:t xml:space="preserve">Organizational arrangements: adequacy of resources; human resources policy; the appropriate </w:t>
            </w:r>
            <w:proofErr w:type="gramStart"/>
            <w:r w:rsidRPr="007434F6">
              <w:rPr>
                <w:rFonts w:ascii="Gill Sans MT" w:eastAsia="Calibri" w:hAnsi="Gill Sans MT" w:cs="Calibri"/>
                <w:color w:val="6C6463" w:themeColor="accent4"/>
                <w:sz w:val="22"/>
              </w:rPr>
              <w:t>amount</w:t>
            </w:r>
            <w:proofErr w:type="gramEnd"/>
            <w:r w:rsidRPr="007434F6">
              <w:rPr>
                <w:rFonts w:ascii="Gill Sans MT" w:eastAsia="Calibri" w:hAnsi="Gill Sans MT" w:cs="Calibri"/>
                <w:color w:val="6C6463" w:themeColor="accent4"/>
                <w:sz w:val="22"/>
              </w:rPr>
              <w:t xml:space="preserve"> of human resources dedicated to market surveillance (referred to as market surveillance team); communication with other units and confidentiality, etc.)</w:t>
            </w:r>
          </w:p>
        </w:tc>
      </w:tr>
      <w:tr w:rsidR="007434F6" w:rsidRPr="007434F6" w14:paraId="62E690E2" w14:textId="77777777" w:rsidTr="007434F6">
        <w:tc>
          <w:tcPr>
            <w:tcW w:w="459" w:type="dxa"/>
          </w:tcPr>
          <w:p w14:paraId="0767401A" w14:textId="77777777" w:rsidR="007434F6" w:rsidRPr="007434F6" w:rsidRDefault="007434F6" w:rsidP="007434F6">
            <w:pPr>
              <w:spacing w:after="160" w:line="259" w:lineRule="auto"/>
              <w:rPr>
                <w:rFonts w:eastAsia="Calibri" w:cs="Calibri"/>
                <w:b/>
                <w:bCs/>
                <w:color w:val="6C6463" w:themeColor="accent4"/>
                <w:lang w:val="ru-RU"/>
              </w:rPr>
            </w:pPr>
            <w:r w:rsidRPr="007434F6">
              <w:rPr>
                <w:rFonts w:eastAsia="Calibri" w:cs="Calibri"/>
                <w:b/>
                <w:bCs/>
                <w:color w:val="6C6463" w:themeColor="accent4"/>
                <w:lang w:val="ru-RU"/>
              </w:rPr>
              <w:t>9</w:t>
            </w:r>
          </w:p>
        </w:tc>
        <w:tc>
          <w:tcPr>
            <w:tcW w:w="8626" w:type="dxa"/>
          </w:tcPr>
          <w:p w14:paraId="1F12D195" w14:textId="3B92DA77" w:rsidR="007434F6" w:rsidRPr="007434F6" w:rsidRDefault="007434F6" w:rsidP="007434F6">
            <w:pPr>
              <w:spacing w:after="160" w:line="259" w:lineRule="auto"/>
              <w:rPr>
                <w:rFonts w:eastAsia="Calibri" w:cs="Calibri"/>
                <w:b/>
                <w:bCs/>
                <w:color w:val="6C6463" w:themeColor="accent4"/>
              </w:rPr>
            </w:pPr>
            <w:r w:rsidRPr="007434F6">
              <w:rPr>
                <w:rFonts w:eastAsia="Calibri" w:cs="Calibri"/>
                <w:b/>
                <w:bCs/>
                <w:color w:val="6C6463" w:themeColor="accent4"/>
              </w:rPr>
              <w:t>Methodology for calculation of penalties</w:t>
            </w:r>
          </w:p>
          <w:p w14:paraId="2FFEF415" w14:textId="77777777" w:rsidR="007434F6" w:rsidRPr="007434F6" w:rsidRDefault="007434F6" w:rsidP="007434F6">
            <w:pPr>
              <w:spacing w:after="160" w:line="259" w:lineRule="auto"/>
              <w:jc w:val="both"/>
              <w:rPr>
                <w:rFonts w:eastAsia="Calibri" w:cs="Calibri"/>
                <w:color w:val="6C6463" w:themeColor="accent4"/>
              </w:rPr>
            </w:pPr>
            <w:r w:rsidRPr="007434F6">
              <w:rPr>
                <w:rFonts w:eastAsia="Calibri" w:cs="Calibri"/>
                <w:color w:val="6C6463" w:themeColor="accent4"/>
              </w:rPr>
              <w:t>The amount of any financial penalty must be deterring future transgressions, be reasonable, and proportional to the actual case. The process of calculation of the penalty shall take into consideration the detriment caused to the market, and gains resulting from an infringement, shall assess the seriousness of the infringement, and consider aggravating or mitigating actions taken by a transgressor.</w:t>
            </w:r>
          </w:p>
        </w:tc>
      </w:tr>
      <w:tr w:rsidR="007434F6" w:rsidRPr="007434F6" w14:paraId="1E5E7AA9" w14:textId="77777777" w:rsidTr="007434F6">
        <w:tc>
          <w:tcPr>
            <w:tcW w:w="459" w:type="dxa"/>
          </w:tcPr>
          <w:p w14:paraId="42512457" w14:textId="77777777" w:rsidR="007434F6" w:rsidRPr="007434F6" w:rsidRDefault="007434F6" w:rsidP="007434F6">
            <w:pPr>
              <w:spacing w:after="160" w:line="259" w:lineRule="auto"/>
              <w:rPr>
                <w:rFonts w:eastAsia="Calibri" w:cs="Calibri"/>
                <w:b/>
                <w:bCs/>
                <w:color w:val="6C6463" w:themeColor="accent4"/>
                <w:lang w:val="ru-RU"/>
              </w:rPr>
            </w:pPr>
            <w:r w:rsidRPr="007434F6">
              <w:rPr>
                <w:rFonts w:eastAsia="Calibri" w:cs="Calibri"/>
                <w:b/>
                <w:bCs/>
                <w:color w:val="6C6463" w:themeColor="accent4"/>
                <w:lang w:val="ru-RU"/>
              </w:rPr>
              <w:t>10</w:t>
            </w:r>
          </w:p>
        </w:tc>
        <w:tc>
          <w:tcPr>
            <w:tcW w:w="8626" w:type="dxa"/>
          </w:tcPr>
          <w:p w14:paraId="3DEBE935" w14:textId="77777777" w:rsidR="007434F6" w:rsidRPr="007434F6" w:rsidRDefault="007434F6" w:rsidP="007434F6">
            <w:pPr>
              <w:spacing w:after="160" w:line="259" w:lineRule="auto"/>
              <w:rPr>
                <w:rFonts w:eastAsia="Calibri" w:cs="Calibri"/>
                <w:color w:val="6C6463" w:themeColor="accent4"/>
              </w:rPr>
            </w:pPr>
            <w:r w:rsidRPr="007434F6">
              <w:rPr>
                <w:rFonts w:eastAsia="Calibri" w:cs="Calibri"/>
                <w:b/>
                <w:bCs/>
                <w:color w:val="6C6463" w:themeColor="accent4"/>
              </w:rPr>
              <w:t>Procedure to investigate market abuse on the energy market</w:t>
            </w:r>
            <w:r w:rsidRPr="007434F6">
              <w:rPr>
                <w:rFonts w:eastAsia="Calibri" w:cs="Calibri"/>
                <w:color w:val="6C6463" w:themeColor="accent4"/>
              </w:rPr>
              <w:t xml:space="preserve"> (develop an accurate and thorough understanding of the matters at hand, conduct the investigation robustly and efficiently, etc.)</w:t>
            </w:r>
          </w:p>
        </w:tc>
      </w:tr>
      <w:tr w:rsidR="007434F6" w:rsidRPr="007434F6" w14:paraId="601E1951" w14:textId="77777777" w:rsidTr="007434F6">
        <w:tc>
          <w:tcPr>
            <w:tcW w:w="459" w:type="dxa"/>
          </w:tcPr>
          <w:p w14:paraId="29946828" w14:textId="77777777" w:rsidR="007434F6" w:rsidRPr="007434F6" w:rsidRDefault="007434F6" w:rsidP="007434F6">
            <w:pPr>
              <w:spacing w:after="160" w:line="259" w:lineRule="auto"/>
              <w:rPr>
                <w:rFonts w:eastAsia="Calibri" w:cs="Calibri"/>
                <w:b/>
                <w:bCs/>
                <w:color w:val="6C6463" w:themeColor="accent4"/>
                <w:lang w:val="ru-RU"/>
              </w:rPr>
            </w:pPr>
            <w:r w:rsidRPr="007434F6">
              <w:rPr>
                <w:rFonts w:eastAsia="Calibri" w:cs="Calibri"/>
                <w:b/>
                <w:bCs/>
                <w:color w:val="6C6463" w:themeColor="accent4"/>
                <w:lang w:val="ru-RU"/>
              </w:rPr>
              <w:t>11</w:t>
            </w:r>
          </w:p>
        </w:tc>
        <w:tc>
          <w:tcPr>
            <w:tcW w:w="8626" w:type="dxa"/>
          </w:tcPr>
          <w:p w14:paraId="3D6C9A4D" w14:textId="77777777" w:rsidR="007434F6" w:rsidRPr="007434F6" w:rsidRDefault="007434F6" w:rsidP="007434F6">
            <w:pPr>
              <w:spacing w:after="160" w:line="259" w:lineRule="auto"/>
              <w:rPr>
                <w:rFonts w:eastAsia="Calibri" w:cs="Calibri"/>
                <w:b/>
                <w:bCs/>
                <w:color w:val="6C6463" w:themeColor="accent4"/>
              </w:rPr>
            </w:pPr>
            <w:r w:rsidRPr="007434F6">
              <w:rPr>
                <w:rFonts w:eastAsia="Calibri" w:cs="Calibri"/>
                <w:b/>
                <w:bCs/>
                <w:color w:val="6C6463" w:themeColor="accent4"/>
              </w:rPr>
              <w:t xml:space="preserve">Guidelines and instructions for identification of actions that have a feature of manipulation </w:t>
            </w:r>
          </w:p>
          <w:p w14:paraId="0A6858AA" w14:textId="77777777" w:rsidR="007434F6" w:rsidRPr="007434F6" w:rsidRDefault="007434F6" w:rsidP="007434F6">
            <w:pPr>
              <w:spacing w:after="160" w:line="259" w:lineRule="auto"/>
              <w:rPr>
                <w:rFonts w:eastAsia="Calibri" w:cs="Calibri"/>
                <w:color w:val="6C6463" w:themeColor="accent4"/>
              </w:rPr>
            </w:pPr>
            <w:r w:rsidRPr="007434F6">
              <w:rPr>
                <w:rFonts w:eastAsia="Calibri" w:cs="Calibri"/>
                <w:color w:val="6C6463" w:themeColor="accent4"/>
              </w:rPr>
              <w:t>(</w:t>
            </w:r>
            <w:proofErr w:type="gramStart"/>
            <w:r w:rsidRPr="007434F6">
              <w:rPr>
                <w:rFonts w:eastAsia="Calibri" w:cs="Calibri"/>
                <w:color w:val="6C6463" w:themeColor="accent4"/>
              </w:rPr>
              <w:t>i.e.</w:t>
            </w:r>
            <w:proofErr w:type="gramEnd"/>
            <w:r w:rsidRPr="007434F6">
              <w:rPr>
                <w:rFonts w:eastAsia="Calibri" w:cs="Calibri"/>
                <w:color w:val="6C6463" w:themeColor="accent4"/>
              </w:rPr>
              <w:t xml:space="preserve"> examples of the various types of practice which could constitute market manipulation; false/misleading transactions; price positioning; transactions involving fictitious devices/deception, etc.)</w:t>
            </w:r>
          </w:p>
        </w:tc>
      </w:tr>
    </w:tbl>
    <w:p w14:paraId="788A3305" w14:textId="6EB62EF3" w:rsidR="007434F6" w:rsidRDefault="007434F6" w:rsidP="00EA661E">
      <w:pPr>
        <w:spacing w:after="0" w:line="264" w:lineRule="auto"/>
        <w:jc w:val="both"/>
        <w:rPr>
          <w:rFonts w:eastAsia="Times New Roman"/>
          <w:b/>
          <w:bCs/>
          <w:caps/>
          <w:color w:val="auto"/>
          <w:sz w:val="20"/>
        </w:rPr>
      </w:pPr>
    </w:p>
    <w:p w14:paraId="5E341BC2" w14:textId="34310914" w:rsidR="007434F6" w:rsidRDefault="007434F6" w:rsidP="00EA661E">
      <w:pPr>
        <w:spacing w:after="0" w:line="264" w:lineRule="auto"/>
        <w:jc w:val="both"/>
        <w:rPr>
          <w:rFonts w:eastAsia="Times New Roman"/>
          <w:b/>
          <w:bCs/>
          <w:caps/>
          <w:color w:val="auto"/>
          <w:sz w:val="20"/>
        </w:rPr>
      </w:pPr>
      <w:r>
        <w:rPr>
          <w:rFonts w:eastAsia="Times New Roman"/>
          <w:b/>
          <w:bCs/>
          <w:caps/>
          <w:color w:val="auto"/>
          <w:sz w:val="20"/>
        </w:rPr>
        <w:t>Responsibilities:</w:t>
      </w:r>
    </w:p>
    <w:p w14:paraId="5D5823A4" w14:textId="77777777" w:rsidR="007434F6" w:rsidRPr="007434F6" w:rsidRDefault="007434F6" w:rsidP="007434F6">
      <w:pPr>
        <w:numPr>
          <w:ilvl w:val="0"/>
          <w:numId w:val="24"/>
        </w:numPr>
        <w:spacing w:after="0" w:line="259" w:lineRule="auto"/>
        <w:jc w:val="both"/>
        <w:rPr>
          <w:rFonts w:eastAsia="Times New Roman" w:cs="Arial"/>
          <w:color w:val="6C6463" w:themeColor="accent4"/>
          <w:lang w:eastAsia="ru-RU"/>
        </w:rPr>
      </w:pPr>
      <w:r w:rsidRPr="007434F6">
        <w:rPr>
          <w:rFonts w:eastAsia="Times New Roman" w:cs="Arial"/>
          <w:color w:val="6C6463" w:themeColor="accent4"/>
          <w:lang w:eastAsia="ru-RU"/>
        </w:rPr>
        <w:t xml:space="preserve">Reviewing the relevant EU, EU Agency for the Cooperation of the Energy Regulators (ACER), EU Member States’ NRAs, and also the Energy Community Regulatory Board (ECRB) primary and secondary legislation as templates, proposing the relevant </w:t>
      </w:r>
      <w:r w:rsidRPr="007434F6">
        <w:rPr>
          <w:rFonts w:eastAsia="Calibri" w:cs="Times New Roman"/>
          <w:color w:val="6C6463" w:themeColor="accent4"/>
        </w:rPr>
        <w:t xml:space="preserve">planning, discussion, presentation materials, developing, drafting, consulting and adopting all elements of the secondary legislation, organizational frameworks, business processes etc., implementing REMIT in actual practice </w:t>
      </w:r>
      <w:r w:rsidRPr="007434F6">
        <w:rPr>
          <w:rFonts w:eastAsia="Times New Roman" w:cs="Arial"/>
          <w:color w:val="6C6463" w:themeColor="accent4"/>
          <w:lang w:eastAsia="ru-RU"/>
        </w:rPr>
        <w:t xml:space="preserve">(to be coordinated, discussed and approved by ESP, NEURC and other stakeholders); </w:t>
      </w:r>
    </w:p>
    <w:p w14:paraId="195C36B4" w14:textId="77777777" w:rsidR="007434F6" w:rsidRPr="007434F6" w:rsidRDefault="007434F6" w:rsidP="007434F6">
      <w:pPr>
        <w:numPr>
          <w:ilvl w:val="0"/>
          <w:numId w:val="24"/>
        </w:numPr>
        <w:spacing w:after="0" w:line="259" w:lineRule="auto"/>
        <w:jc w:val="both"/>
        <w:rPr>
          <w:rFonts w:eastAsia="Times New Roman" w:cs="Arial"/>
          <w:color w:val="6C6463" w:themeColor="accent4"/>
          <w:lang w:eastAsia="ru-RU"/>
        </w:rPr>
      </w:pPr>
      <w:r w:rsidRPr="007434F6">
        <w:rPr>
          <w:rFonts w:eastAsia="Times New Roman" w:cs="Arial"/>
          <w:color w:val="6C6463" w:themeColor="accent4"/>
          <w:lang w:eastAsia="ru-RU"/>
        </w:rPr>
        <w:t xml:space="preserve">Facilitating NEURC’s interface, cooperation and exchanges with the EU ACER, EU Member States’ </w:t>
      </w:r>
      <w:proofErr w:type="gramStart"/>
      <w:r w:rsidRPr="007434F6">
        <w:rPr>
          <w:rFonts w:eastAsia="Times New Roman" w:cs="Arial"/>
          <w:color w:val="6C6463" w:themeColor="accent4"/>
          <w:lang w:eastAsia="ru-RU"/>
        </w:rPr>
        <w:t>NRAs</w:t>
      </w:r>
      <w:proofErr w:type="gramEnd"/>
      <w:r w:rsidRPr="007434F6">
        <w:rPr>
          <w:rFonts w:eastAsia="Times New Roman" w:cs="Arial"/>
          <w:color w:val="6C6463" w:themeColor="accent4"/>
          <w:lang w:eastAsia="ru-RU"/>
        </w:rPr>
        <w:t xml:space="preserve"> and other institutions, particularly these in the neighboring countries – contracting parties of the Energy Community Treaty.</w:t>
      </w:r>
    </w:p>
    <w:p w14:paraId="01AB4EFE" w14:textId="77777777" w:rsidR="007434F6" w:rsidRPr="007434F6" w:rsidRDefault="007434F6" w:rsidP="007434F6">
      <w:pPr>
        <w:numPr>
          <w:ilvl w:val="0"/>
          <w:numId w:val="24"/>
        </w:numPr>
        <w:spacing w:after="0" w:line="259" w:lineRule="auto"/>
        <w:jc w:val="both"/>
        <w:rPr>
          <w:rFonts w:eastAsia="Times New Roman" w:cs="Arial"/>
          <w:color w:val="6C6463" w:themeColor="accent4"/>
          <w:lang w:eastAsia="ru-RU"/>
        </w:rPr>
      </w:pPr>
      <w:r w:rsidRPr="007434F6">
        <w:rPr>
          <w:rFonts w:eastAsia="Times New Roman" w:cs="Arial"/>
          <w:color w:val="6C6463" w:themeColor="accent4"/>
          <w:lang w:eastAsia="ru-RU"/>
        </w:rPr>
        <w:lastRenderedPageBreak/>
        <w:t>GAP analysis between Ukrainian legislation and the general framework and the relevant requirements from the EU REMIT specifically, and EU acquis in general;</w:t>
      </w:r>
    </w:p>
    <w:p w14:paraId="24021136" w14:textId="77777777" w:rsidR="007434F6" w:rsidRPr="007434F6" w:rsidRDefault="007434F6" w:rsidP="007434F6">
      <w:pPr>
        <w:numPr>
          <w:ilvl w:val="0"/>
          <w:numId w:val="24"/>
        </w:numPr>
        <w:spacing w:after="0" w:line="259" w:lineRule="auto"/>
        <w:jc w:val="both"/>
        <w:rPr>
          <w:rFonts w:eastAsia="Times New Roman" w:cs="Arial"/>
          <w:color w:val="6C6463" w:themeColor="accent4"/>
          <w:lang w:eastAsia="ru-RU"/>
        </w:rPr>
      </w:pPr>
      <w:r w:rsidRPr="007434F6">
        <w:rPr>
          <w:rFonts w:eastAsia="Times New Roman" w:cs="Arial"/>
          <w:color w:val="6C6463" w:themeColor="accent4"/>
          <w:lang w:eastAsia="ru-RU"/>
        </w:rPr>
        <w:t>Action plan for adoption of the REMIT-compliant framework, development of the relevant roadmaps harmonized with the EU REMIT requirements;</w:t>
      </w:r>
    </w:p>
    <w:p w14:paraId="7E5AFB2A" w14:textId="77777777" w:rsidR="007434F6" w:rsidRPr="007434F6" w:rsidRDefault="007434F6" w:rsidP="007434F6">
      <w:pPr>
        <w:numPr>
          <w:ilvl w:val="0"/>
          <w:numId w:val="24"/>
        </w:numPr>
        <w:spacing w:after="0" w:line="259" w:lineRule="auto"/>
        <w:jc w:val="both"/>
        <w:rPr>
          <w:rFonts w:eastAsia="Times New Roman" w:cs="Arial"/>
          <w:color w:val="6C6463" w:themeColor="accent4"/>
          <w:lang w:eastAsia="ru-RU"/>
        </w:rPr>
      </w:pPr>
      <w:r w:rsidRPr="007434F6">
        <w:rPr>
          <w:rFonts w:eastAsia="Times New Roman" w:cs="Arial"/>
          <w:color w:val="6C6463" w:themeColor="accent4"/>
          <w:lang w:eastAsia="ru-RU"/>
        </w:rPr>
        <w:t>Participation in the meetings, where necessary, to align with ESP, NEURC and energy operators to facilitate the adoption of the EU REMIT-compliant market monitoring frameworks and systems;</w:t>
      </w:r>
    </w:p>
    <w:p w14:paraId="03627418" w14:textId="77777777" w:rsidR="007434F6" w:rsidRPr="007434F6" w:rsidRDefault="007434F6" w:rsidP="007434F6">
      <w:pPr>
        <w:numPr>
          <w:ilvl w:val="0"/>
          <w:numId w:val="24"/>
        </w:numPr>
        <w:spacing w:after="0" w:line="259" w:lineRule="auto"/>
        <w:jc w:val="both"/>
        <w:rPr>
          <w:rFonts w:eastAsia="Times New Roman" w:cs="Arial"/>
          <w:color w:val="6C6463" w:themeColor="accent4"/>
          <w:lang w:eastAsia="ru-RU"/>
        </w:rPr>
      </w:pPr>
      <w:r w:rsidRPr="007434F6">
        <w:rPr>
          <w:rFonts w:eastAsia="Times New Roman" w:cs="Arial"/>
          <w:color w:val="6C6463" w:themeColor="accent4"/>
          <w:lang w:eastAsia="ru-RU"/>
        </w:rPr>
        <w:t xml:space="preserve">Preparation of the necessary packages of documents for presentation, </w:t>
      </w:r>
      <w:proofErr w:type="gramStart"/>
      <w:r w:rsidRPr="007434F6">
        <w:rPr>
          <w:rFonts w:eastAsia="Times New Roman" w:cs="Arial"/>
          <w:color w:val="6C6463" w:themeColor="accent4"/>
          <w:lang w:eastAsia="ru-RU"/>
        </w:rPr>
        <w:t>discussion</w:t>
      </w:r>
      <w:proofErr w:type="gramEnd"/>
      <w:r w:rsidRPr="007434F6">
        <w:rPr>
          <w:rFonts w:eastAsia="Times New Roman" w:cs="Arial"/>
          <w:color w:val="6C6463" w:themeColor="accent4"/>
          <w:lang w:eastAsia="ru-RU"/>
        </w:rPr>
        <w:t xml:space="preserve"> and adoption by the relevant stakeholders.</w:t>
      </w:r>
    </w:p>
    <w:p w14:paraId="58361304" w14:textId="77777777" w:rsidR="007434F6" w:rsidRDefault="007434F6" w:rsidP="00EA661E">
      <w:pPr>
        <w:spacing w:after="0" w:line="264" w:lineRule="auto"/>
        <w:jc w:val="both"/>
        <w:rPr>
          <w:rFonts w:eastAsia="Times New Roman"/>
          <w:b/>
          <w:bCs/>
          <w:caps/>
          <w:color w:val="auto"/>
          <w:sz w:val="20"/>
        </w:rPr>
      </w:pPr>
    </w:p>
    <w:p w14:paraId="1798EE73" w14:textId="2960B04B" w:rsidR="0076681D" w:rsidRDefault="0076681D" w:rsidP="00755A0A">
      <w:pPr>
        <w:pStyle w:val="Heading2"/>
        <w:spacing w:line="264" w:lineRule="auto"/>
        <w:jc w:val="both"/>
        <w:rPr>
          <w:rFonts w:eastAsia="Times New Roman"/>
        </w:rPr>
      </w:pPr>
      <w:r>
        <w:rPr>
          <w:rFonts w:eastAsia="Times New Roman"/>
        </w:rPr>
        <w:t>Qualifications:</w:t>
      </w:r>
    </w:p>
    <w:bookmarkEnd w:id="1"/>
    <w:p w14:paraId="0E72BAA4" w14:textId="77777777" w:rsidR="007434F6" w:rsidRPr="007434F6" w:rsidRDefault="007434F6" w:rsidP="007434F6">
      <w:pPr>
        <w:numPr>
          <w:ilvl w:val="0"/>
          <w:numId w:val="24"/>
        </w:numPr>
        <w:spacing w:after="0" w:line="259" w:lineRule="auto"/>
        <w:jc w:val="both"/>
        <w:rPr>
          <w:rFonts w:eastAsia="Times New Roman" w:cs="Arial"/>
          <w:color w:val="6C6463" w:themeColor="accent4"/>
          <w:lang w:eastAsia="ru-RU"/>
        </w:rPr>
      </w:pPr>
      <w:r w:rsidRPr="007434F6">
        <w:rPr>
          <w:rFonts w:eastAsia="Times New Roman" w:cs="Arial"/>
          <w:color w:val="6C6463" w:themeColor="accent4"/>
          <w:lang w:eastAsia="ru-RU"/>
        </w:rPr>
        <w:t>Master’s degree in a relevant field of specialization, preferably economics, finance, engineering, energy or law-related;</w:t>
      </w:r>
    </w:p>
    <w:p w14:paraId="626EECAF" w14:textId="77777777" w:rsidR="007434F6" w:rsidRPr="007434F6" w:rsidRDefault="007434F6" w:rsidP="007434F6">
      <w:pPr>
        <w:numPr>
          <w:ilvl w:val="0"/>
          <w:numId w:val="24"/>
        </w:numPr>
        <w:spacing w:after="0" w:line="259" w:lineRule="auto"/>
        <w:jc w:val="both"/>
        <w:rPr>
          <w:rFonts w:eastAsia="Times New Roman" w:cs="Arial"/>
          <w:color w:val="6C6463" w:themeColor="accent4"/>
          <w:lang w:eastAsia="ru-RU"/>
        </w:rPr>
      </w:pPr>
      <w:r w:rsidRPr="007434F6">
        <w:rPr>
          <w:rFonts w:eastAsia="Times New Roman" w:cs="Arial"/>
          <w:color w:val="6C6463" w:themeColor="accent4"/>
          <w:lang w:eastAsia="ru-RU"/>
        </w:rPr>
        <w:t>Excellent English oral and writing skills;</w:t>
      </w:r>
    </w:p>
    <w:p w14:paraId="547ADDE0" w14:textId="77777777" w:rsidR="007434F6" w:rsidRPr="007434F6" w:rsidRDefault="007434F6" w:rsidP="007434F6">
      <w:pPr>
        <w:numPr>
          <w:ilvl w:val="0"/>
          <w:numId w:val="24"/>
        </w:numPr>
        <w:spacing w:after="0" w:line="259" w:lineRule="auto"/>
        <w:jc w:val="both"/>
        <w:rPr>
          <w:rFonts w:eastAsia="Times New Roman" w:cs="Arial"/>
          <w:color w:val="6C6463" w:themeColor="accent4"/>
          <w:lang w:eastAsia="ru-RU"/>
        </w:rPr>
      </w:pPr>
      <w:r w:rsidRPr="007434F6">
        <w:rPr>
          <w:rFonts w:eastAsia="Times New Roman" w:cs="Arial"/>
          <w:color w:val="6C6463" w:themeColor="accent4"/>
          <w:lang w:eastAsia="ru-RU"/>
        </w:rPr>
        <w:t>At least five years of the overall experience working in the EU Member State(s) (including UK) or the EU institutions in the energy sector (electricity and/or gas), energy or financial markets regulatory, competition, or oversight environment;</w:t>
      </w:r>
    </w:p>
    <w:p w14:paraId="089EAE39" w14:textId="77777777" w:rsidR="007434F6" w:rsidRPr="007434F6" w:rsidRDefault="007434F6" w:rsidP="007434F6">
      <w:pPr>
        <w:numPr>
          <w:ilvl w:val="0"/>
          <w:numId w:val="24"/>
        </w:numPr>
        <w:spacing w:after="0" w:line="259" w:lineRule="auto"/>
        <w:jc w:val="both"/>
        <w:rPr>
          <w:rFonts w:eastAsia="Times New Roman" w:cs="Arial"/>
          <w:color w:val="6C6463" w:themeColor="accent4"/>
          <w:lang w:eastAsia="ru-RU"/>
        </w:rPr>
      </w:pPr>
      <w:r w:rsidRPr="007434F6">
        <w:rPr>
          <w:rFonts w:eastAsia="Times New Roman" w:cs="Arial"/>
          <w:color w:val="6C6463" w:themeColor="accent4"/>
          <w:lang w:eastAsia="ru-RU"/>
        </w:rPr>
        <w:t>Good knowledge of the EU Third Energy Package and recently adopted new energy package (Clean Energy for All Europeans), EU energy market features, structures, facilities, and mechanisms, and excellent knowledge of EU REMIT-related legislation and requirements;</w:t>
      </w:r>
    </w:p>
    <w:p w14:paraId="4A8E7E00" w14:textId="77777777" w:rsidR="007434F6" w:rsidRPr="007434F6" w:rsidRDefault="007434F6" w:rsidP="007434F6">
      <w:pPr>
        <w:numPr>
          <w:ilvl w:val="0"/>
          <w:numId w:val="24"/>
        </w:numPr>
        <w:spacing w:after="0" w:line="259" w:lineRule="auto"/>
        <w:jc w:val="both"/>
        <w:rPr>
          <w:rFonts w:eastAsia="Times New Roman" w:cs="Arial"/>
          <w:color w:val="6C6463" w:themeColor="accent4"/>
          <w:lang w:eastAsia="ru-RU"/>
        </w:rPr>
      </w:pPr>
      <w:r w:rsidRPr="007434F6">
        <w:rPr>
          <w:rFonts w:eastAsia="Times New Roman" w:cs="Arial"/>
          <w:color w:val="6C6463" w:themeColor="accent4"/>
          <w:lang w:eastAsia="ru-RU"/>
        </w:rPr>
        <w:t xml:space="preserve">At least three years of working preferably with ACER, or one of the energy national regulatory authorities (NRAs), or one of the EU registered reporting mechanisms, in the EU Member States (including UK), </w:t>
      </w:r>
      <w:r w:rsidRPr="007434F6">
        <w:rPr>
          <w:rFonts w:eastAsia="Times New Roman" w:cs="Arial"/>
          <w:b/>
          <w:bCs/>
          <w:color w:val="6C6463" w:themeColor="accent4"/>
          <w:lang w:eastAsia="ru-RU"/>
        </w:rPr>
        <w:t>being involved as minimum in one of the following EU REMIT-compliant tasks:</w:t>
      </w:r>
    </w:p>
    <w:p w14:paraId="57848FCE" w14:textId="4EF9E7B1" w:rsidR="007434F6" w:rsidRPr="007434F6" w:rsidRDefault="007434F6" w:rsidP="007434F6">
      <w:pPr>
        <w:numPr>
          <w:ilvl w:val="1"/>
          <w:numId w:val="21"/>
        </w:numPr>
        <w:spacing w:after="160" w:line="259" w:lineRule="auto"/>
        <w:contextualSpacing/>
        <w:jc w:val="both"/>
        <w:rPr>
          <w:bCs/>
        </w:rPr>
      </w:pPr>
      <w:r w:rsidRPr="007434F6">
        <w:rPr>
          <w:b/>
          <w:bCs/>
        </w:rPr>
        <w:t xml:space="preserve">energy market monitoring and oversight </w:t>
      </w:r>
    </w:p>
    <w:p w14:paraId="138DA875" w14:textId="2E3E74C6" w:rsidR="007434F6" w:rsidRPr="007434F6" w:rsidRDefault="007434F6" w:rsidP="007434F6">
      <w:pPr>
        <w:numPr>
          <w:ilvl w:val="1"/>
          <w:numId w:val="21"/>
        </w:numPr>
        <w:spacing w:after="160" w:line="259" w:lineRule="auto"/>
        <w:contextualSpacing/>
        <w:jc w:val="both"/>
        <w:rPr>
          <w:bCs/>
        </w:rPr>
      </w:pPr>
      <w:r w:rsidRPr="007434F6">
        <w:rPr>
          <w:b/>
          <w:bCs/>
        </w:rPr>
        <w:t>identification of market abuses</w:t>
      </w:r>
    </w:p>
    <w:p w14:paraId="3C844315" w14:textId="3DB4B702" w:rsidR="007434F6" w:rsidRPr="007434F6" w:rsidRDefault="007434F6" w:rsidP="007434F6">
      <w:pPr>
        <w:numPr>
          <w:ilvl w:val="1"/>
          <w:numId w:val="21"/>
        </w:numPr>
        <w:spacing w:after="160" w:line="259" w:lineRule="auto"/>
        <w:contextualSpacing/>
        <w:jc w:val="both"/>
        <w:rPr>
          <w:bCs/>
        </w:rPr>
      </w:pPr>
      <w:r w:rsidRPr="007434F6">
        <w:rPr>
          <w:b/>
          <w:bCs/>
        </w:rPr>
        <w:t>conducting investigations upon identified abuses</w:t>
      </w:r>
    </w:p>
    <w:p w14:paraId="390E4768" w14:textId="4AD69A7A" w:rsidR="007434F6" w:rsidRPr="007434F6" w:rsidRDefault="007434F6" w:rsidP="007434F6">
      <w:pPr>
        <w:numPr>
          <w:ilvl w:val="1"/>
          <w:numId w:val="21"/>
        </w:numPr>
        <w:spacing w:after="160" w:line="259" w:lineRule="auto"/>
        <w:contextualSpacing/>
        <w:jc w:val="both"/>
        <w:rPr>
          <w:bCs/>
        </w:rPr>
      </w:pPr>
      <w:r w:rsidRPr="007434F6">
        <w:rPr>
          <w:b/>
          <w:bCs/>
        </w:rPr>
        <w:t>penalty development and application</w:t>
      </w:r>
    </w:p>
    <w:p w14:paraId="73D64542" w14:textId="25F10626" w:rsidR="007434F6" w:rsidRPr="007434F6" w:rsidRDefault="007434F6" w:rsidP="007434F6">
      <w:pPr>
        <w:numPr>
          <w:ilvl w:val="1"/>
          <w:numId w:val="21"/>
        </w:numPr>
        <w:spacing w:after="160" w:line="259" w:lineRule="auto"/>
        <w:contextualSpacing/>
        <w:jc w:val="both"/>
        <w:rPr>
          <w:bCs/>
        </w:rPr>
      </w:pPr>
      <w:r w:rsidRPr="007434F6">
        <w:rPr>
          <w:b/>
          <w:bCs/>
        </w:rPr>
        <w:t>interfacing with the NRAs and/or ACER upon the suspicious cases of market abuses</w:t>
      </w:r>
    </w:p>
    <w:p w14:paraId="7E2BE511" w14:textId="77777777" w:rsidR="007434F6" w:rsidRPr="007434F6" w:rsidRDefault="007434F6" w:rsidP="007434F6">
      <w:pPr>
        <w:numPr>
          <w:ilvl w:val="1"/>
          <w:numId w:val="21"/>
        </w:numPr>
        <w:spacing w:after="160" w:line="259" w:lineRule="auto"/>
        <w:contextualSpacing/>
        <w:jc w:val="both"/>
        <w:rPr>
          <w:bCs/>
        </w:rPr>
      </w:pPr>
      <w:r w:rsidRPr="007434F6">
        <w:rPr>
          <w:b/>
          <w:bCs/>
        </w:rPr>
        <w:t xml:space="preserve">supporting development of REMIT-compliant organization, systems, models, </w:t>
      </w:r>
      <w:proofErr w:type="gramStart"/>
      <w:r w:rsidRPr="007434F6">
        <w:rPr>
          <w:b/>
          <w:bCs/>
        </w:rPr>
        <w:t>frameworks</w:t>
      </w:r>
      <w:proofErr w:type="gramEnd"/>
      <w:r w:rsidRPr="007434F6">
        <w:rPr>
          <w:b/>
          <w:bCs/>
        </w:rPr>
        <w:t xml:space="preserve"> or IT infrastructure</w:t>
      </w:r>
      <w:r w:rsidRPr="007434F6">
        <w:rPr>
          <w:bCs/>
        </w:rPr>
        <w:t>;</w:t>
      </w:r>
    </w:p>
    <w:p w14:paraId="74FFB32F" w14:textId="77777777" w:rsidR="007434F6" w:rsidRPr="007434F6" w:rsidRDefault="007434F6" w:rsidP="007434F6">
      <w:pPr>
        <w:numPr>
          <w:ilvl w:val="0"/>
          <w:numId w:val="24"/>
        </w:numPr>
        <w:spacing w:after="0" w:line="259" w:lineRule="auto"/>
        <w:jc w:val="both"/>
        <w:rPr>
          <w:rFonts w:eastAsia="Times New Roman" w:cs="Arial"/>
          <w:color w:val="6C6463" w:themeColor="accent4"/>
          <w:lang w:eastAsia="ru-RU"/>
        </w:rPr>
      </w:pPr>
      <w:r w:rsidRPr="007434F6">
        <w:rPr>
          <w:rFonts w:eastAsia="Times New Roman" w:cs="Arial"/>
          <w:color w:val="6C6463" w:themeColor="accent4"/>
          <w:lang w:eastAsia="ru-RU"/>
        </w:rPr>
        <w:t xml:space="preserve">Proven experience in drafting, consulting, </w:t>
      </w:r>
      <w:proofErr w:type="gramStart"/>
      <w:r w:rsidRPr="007434F6">
        <w:rPr>
          <w:rFonts w:eastAsia="Times New Roman" w:cs="Arial"/>
          <w:color w:val="6C6463" w:themeColor="accent4"/>
          <w:lang w:eastAsia="ru-RU"/>
        </w:rPr>
        <w:t>negotiating</w:t>
      </w:r>
      <w:proofErr w:type="gramEnd"/>
      <w:r w:rsidRPr="007434F6">
        <w:rPr>
          <w:rFonts w:eastAsia="Times New Roman" w:cs="Arial"/>
          <w:color w:val="6C6463" w:themeColor="accent4"/>
          <w:lang w:eastAsia="ru-RU"/>
        </w:rPr>
        <w:t xml:space="preserve"> and reviewing legislative and procedural acts;</w:t>
      </w:r>
    </w:p>
    <w:p w14:paraId="108A1594" w14:textId="77777777" w:rsidR="007434F6" w:rsidRPr="007434F6" w:rsidRDefault="007434F6" w:rsidP="007434F6">
      <w:pPr>
        <w:numPr>
          <w:ilvl w:val="0"/>
          <w:numId w:val="24"/>
        </w:numPr>
        <w:spacing w:after="0" w:line="259" w:lineRule="auto"/>
        <w:jc w:val="both"/>
        <w:rPr>
          <w:rFonts w:eastAsia="Times New Roman" w:cs="Arial"/>
          <w:color w:val="6C6463" w:themeColor="accent4"/>
          <w:lang w:eastAsia="ru-RU"/>
        </w:rPr>
      </w:pPr>
      <w:r w:rsidRPr="007434F6">
        <w:rPr>
          <w:rFonts w:eastAsia="Times New Roman" w:cs="Arial"/>
          <w:color w:val="6C6463" w:themeColor="accent4"/>
          <w:lang w:eastAsia="ru-RU"/>
        </w:rPr>
        <w:t>General knowledge of the electricity and gas sector activities;</w:t>
      </w:r>
    </w:p>
    <w:p w14:paraId="1C6A79DA" w14:textId="77777777" w:rsidR="007434F6" w:rsidRPr="007434F6" w:rsidRDefault="007434F6" w:rsidP="007434F6">
      <w:pPr>
        <w:numPr>
          <w:ilvl w:val="0"/>
          <w:numId w:val="24"/>
        </w:numPr>
        <w:spacing w:after="0" w:line="259" w:lineRule="auto"/>
        <w:jc w:val="both"/>
        <w:rPr>
          <w:rFonts w:eastAsia="Times New Roman" w:cs="Arial"/>
          <w:color w:val="6C6463" w:themeColor="accent4"/>
          <w:lang w:eastAsia="ru-RU"/>
        </w:rPr>
      </w:pPr>
      <w:r w:rsidRPr="007434F6">
        <w:rPr>
          <w:rFonts w:eastAsia="Times New Roman" w:cs="Arial"/>
          <w:color w:val="6C6463" w:themeColor="accent4"/>
          <w:lang w:eastAsia="ru-RU"/>
        </w:rPr>
        <w:t>Proficiency in office computer applications (Microsoft Word, Outlook, Excel, PowerPoint);</w:t>
      </w:r>
    </w:p>
    <w:p w14:paraId="3BD164AE" w14:textId="77777777" w:rsidR="007434F6" w:rsidRPr="007434F6" w:rsidRDefault="007434F6" w:rsidP="007434F6">
      <w:pPr>
        <w:numPr>
          <w:ilvl w:val="0"/>
          <w:numId w:val="24"/>
        </w:numPr>
        <w:spacing w:after="0" w:line="259" w:lineRule="auto"/>
        <w:jc w:val="both"/>
        <w:rPr>
          <w:rFonts w:eastAsia="Times New Roman" w:cs="Arial"/>
          <w:color w:val="6C6463" w:themeColor="accent4"/>
          <w:lang w:eastAsia="ru-RU"/>
        </w:rPr>
      </w:pPr>
      <w:r w:rsidRPr="007434F6">
        <w:rPr>
          <w:rFonts w:eastAsia="Times New Roman" w:cs="Arial"/>
          <w:color w:val="6C6463" w:themeColor="accent4"/>
          <w:lang w:eastAsia="ru-RU"/>
        </w:rPr>
        <w:t>Able to communicate complex information and deliver verbal and written messages effectively;</w:t>
      </w:r>
    </w:p>
    <w:p w14:paraId="6B1041CC" w14:textId="77777777" w:rsidR="007434F6" w:rsidRPr="007434F6" w:rsidRDefault="007434F6" w:rsidP="007434F6">
      <w:pPr>
        <w:numPr>
          <w:ilvl w:val="0"/>
          <w:numId w:val="24"/>
        </w:numPr>
        <w:spacing w:after="0" w:line="259" w:lineRule="auto"/>
        <w:jc w:val="both"/>
        <w:rPr>
          <w:rFonts w:eastAsia="Times New Roman" w:cs="Arial"/>
          <w:color w:val="6C6463" w:themeColor="accent4"/>
          <w:lang w:eastAsia="ru-RU"/>
        </w:rPr>
      </w:pPr>
      <w:r w:rsidRPr="007434F6">
        <w:rPr>
          <w:rFonts w:eastAsia="Times New Roman" w:cs="Arial"/>
          <w:color w:val="6C6463" w:themeColor="accent4"/>
          <w:lang w:eastAsia="ru-RU"/>
        </w:rPr>
        <w:t>Strong research capabilities, using a variety of primary and secondary sources;</w:t>
      </w:r>
    </w:p>
    <w:p w14:paraId="69B92019" w14:textId="77777777" w:rsidR="007434F6" w:rsidRPr="007434F6" w:rsidRDefault="007434F6" w:rsidP="007434F6">
      <w:pPr>
        <w:numPr>
          <w:ilvl w:val="0"/>
          <w:numId w:val="24"/>
        </w:numPr>
        <w:spacing w:after="0" w:line="259" w:lineRule="auto"/>
        <w:jc w:val="both"/>
        <w:rPr>
          <w:rFonts w:eastAsia="Times New Roman" w:cs="Arial"/>
          <w:color w:val="6C6463" w:themeColor="accent4"/>
          <w:lang w:eastAsia="ru-RU"/>
        </w:rPr>
      </w:pPr>
      <w:r w:rsidRPr="007434F6">
        <w:rPr>
          <w:rFonts w:eastAsia="Times New Roman" w:cs="Arial"/>
          <w:color w:val="6C6463" w:themeColor="accent4"/>
          <w:lang w:eastAsia="ru-RU"/>
        </w:rPr>
        <w:t xml:space="preserve">Experience related to financial-, or energy markets surveillance, market abuse tracking, </w:t>
      </w:r>
      <w:proofErr w:type="gramStart"/>
      <w:r w:rsidRPr="007434F6">
        <w:rPr>
          <w:rFonts w:eastAsia="Times New Roman" w:cs="Arial"/>
          <w:color w:val="6C6463" w:themeColor="accent4"/>
          <w:lang w:eastAsia="ru-RU"/>
        </w:rPr>
        <w:t>investigation</w:t>
      </w:r>
      <w:proofErr w:type="gramEnd"/>
      <w:r w:rsidRPr="007434F6">
        <w:rPr>
          <w:rFonts w:eastAsia="Times New Roman" w:cs="Arial"/>
          <w:color w:val="6C6463" w:themeColor="accent4"/>
          <w:lang w:eastAsia="ru-RU"/>
        </w:rPr>
        <w:t xml:space="preserve"> and prevention, etc. will constitute an asset;</w:t>
      </w:r>
    </w:p>
    <w:p w14:paraId="7E115BFC" w14:textId="77777777" w:rsidR="007434F6" w:rsidRPr="007434F6" w:rsidRDefault="007434F6" w:rsidP="007434F6">
      <w:pPr>
        <w:numPr>
          <w:ilvl w:val="0"/>
          <w:numId w:val="24"/>
        </w:numPr>
        <w:spacing w:after="0" w:line="259" w:lineRule="auto"/>
        <w:jc w:val="both"/>
        <w:rPr>
          <w:rFonts w:eastAsia="Times New Roman" w:cs="Arial"/>
          <w:color w:val="6C6463" w:themeColor="accent4"/>
          <w:lang w:eastAsia="ru-RU"/>
        </w:rPr>
      </w:pPr>
      <w:r w:rsidRPr="007434F6">
        <w:rPr>
          <w:rFonts w:eastAsia="Times New Roman" w:cs="Arial"/>
          <w:color w:val="6C6463" w:themeColor="accent4"/>
          <w:lang w:eastAsia="ru-RU"/>
        </w:rPr>
        <w:t xml:space="preserve">Knowledge of Ukrainian, Russian, </w:t>
      </w:r>
      <w:proofErr w:type="gramStart"/>
      <w:r w:rsidRPr="007434F6">
        <w:rPr>
          <w:rFonts w:eastAsia="Times New Roman" w:cs="Arial"/>
          <w:color w:val="6C6463" w:themeColor="accent4"/>
          <w:lang w:eastAsia="ru-RU"/>
        </w:rPr>
        <w:t>Slovak</w:t>
      </w:r>
      <w:proofErr w:type="gramEnd"/>
      <w:r w:rsidRPr="007434F6">
        <w:rPr>
          <w:rFonts w:eastAsia="Times New Roman" w:cs="Arial"/>
          <w:color w:val="6C6463" w:themeColor="accent4"/>
          <w:lang w:eastAsia="ru-RU"/>
        </w:rPr>
        <w:t xml:space="preserve"> or Polish will constitute an asset.</w:t>
      </w:r>
    </w:p>
    <w:p w14:paraId="7B02CAE1" w14:textId="77777777" w:rsidR="007434F6" w:rsidRPr="007434F6" w:rsidRDefault="007434F6" w:rsidP="007434F6">
      <w:pPr>
        <w:spacing w:after="160" w:line="259" w:lineRule="auto"/>
        <w:contextualSpacing/>
        <w:jc w:val="both"/>
        <w:rPr>
          <w:bCs/>
        </w:rPr>
      </w:pPr>
      <w:r w:rsidRPr="007434F6">
        <w:rPr>
          <w:bCs/>
        </w:rPr>
        <w:t xml:space="preserve"> </w:t>
      </w:r>
    </w:p>
    <w:p w14:paraId="4D5DD7E7" w14:textId="77777777" w:rsidR="00C86D51" w:rsidRPr="00C86D51" w:rsidRDefault="00C86D51" w:rsidP="000A310F">
      <w:pPr>
        <w:spacing w:after="160" w:line="240" w:lineRule="auto"/>
        <w:contextualSpacing/>
        <w:jc w:val="both"/>
      </w:pPr>
    </w:p>
    <w:bookmarkEnd w:id="0"/>
    <w:p w14:paraId="0F4A0C18" w14:textId="4933D3CC" w:rsidR="000A310F" w:rsidRPr="000A310F" w:rsidRDefault="000A310F" w:rsidP="000A310F">
      <w:pPr>
        <w:spacing w:line="240" w:lineRule="auto"/>
        <w:jc w:val="both"/>
        <w:rPr>
          <w:rFonts w:eastAsia="Times New Roman"/>
        </w:rPr>
      </w:pPr>
      <w:r w:rsidRPr="000A310F">
        <w:rPr>
          <w:rFonts w:eastAsia="Times New Roman"/>
        </w:rPr>
        <w:t xml:space="preserve">To apply: Please submit a CV in English and a cover letter with the title of the position in the subject line to </w:t>
      </w:r>
      <w:hyperlink r:id="rId8" w:history="1">
        <w:r w:rsidRPr="000A310F">
          <w:rPr>
            <w:rStyle w:val="Hyperlink"/>
            <w:rFonts w:eastAsia="Times New Roman"/>
          </w:rPr>
          <w:t>UESPjobs@tetratech.com</w:t>
        </w:r>
      </w:hyperlink>
      <w:r>
        <w:rPr>
          <w:rFonts w:eastAsia="Times New Roman"/>
          <w:u w:val="single"/>
        </w:rPr>
        <w:t xml:space="preserve"> </w:t>
      </w:r>
    </w:p>
    <w:p w14:paraId="26BEAB0B" w14:textId="77777777" w:rsidR="000A310F" w:rsidRPr="000A310F" w:rsidRDefault="000A310F" w:rsidP="000A310F">
      <w:pPr>
        <w:spacing w:line="240" w:lineRule="auto"/>
        <w:jc w:val="both"/>
        <w:rPr>
          <w:rFonts w:eastAsia="Times New Roman"/>
        </w:rPr>
      </w:pPr>
      <w:r w:rsidRPr="000A310F">
        <w:rPr>
          <w:rFonts w:eastAsia="Times New Roman"/>
        </w:rPr>
        <w:lastRenderedPageBreak/>
        <w:t>Candidates are encouraged to provide also at least one reference.</w:t>
      </w:r>
    </w:p>
    <w:p w14:paraId="7BB492EB" w14:textId="77777777" w:rsidR="000A310F" w:rsidRPr="000A310F" w:rsidRDefault="000A310F" w:rsidP="000A310F">
      <w:pPr>
        <w:spacing w:line="240" w:lineRule="auto"/>
        <w:jc w:val="both"/>
        <w:rPr>
          <w:rFonts w:eastAsia="Times New Roman"/>
        </w:rPr>
      </w:pPr>
      <w:r w:rsidRPr="000A310F">
        <w:rPr>
          <w:rFonts w:eastAsia="Times New Roman"/>
        </w:rPr>
        <w:t xml:space="preserve">There is no deadline associated with this position, Tetra Tech may fill the position when a qualified person is found.  </w:t>
      </w:r>
    </w:p>
    <w:p w14:paraId="59753DFA" w14:textId="77777777" w:rsidR="000A310F" w:rsidRPr="000A310F" w:rsidRDefault="000A310F" w:rsidP="000A310F">
      <w:pPr>
        <w:spacing w:line="240" w:lineRule="auto"/>
        <w:jc w:val="both"/>
        <w:rPr>
          <w:rFonts w:eastAsia="Times New Roman"/>
        </w:rPr>
      </w:pPr>
      <w:r w:rsidRPr="000A310F">
        <w:rPr>
          <w:rFonts w:eastAsia="Times New Roman"/>
        </w:rPr>
        <w:t xml:space="preserve">Only candidates who have been selected for an interview will be contacted.  No phone calls, please. </w:t>
      </w:r>
    </w:p>
    <w:p w14:paraId="1A49C40E" w14:textId="01D77C5C" w:rsidR="0076681D" w:rsidRPr="0076681D" w:rsidRDefault="000A310F" w:rsidP="000A310F">
      <w:pPr>
        <w:spacing w:line="240" w:lineRule="auto"/>
        <w:jc w:val="both"/>
        <w:rPr>
          <w:lang w:val="uk-UA"/>
        </w:rPr>
      </w:pPr>
      <w:r w:rsidRPr="000A310F">
        <w:rPr>
          <w:rFonts w:eastAsia="Times New Roman"/>
        </w:rPr>
        <w:t xml:space="preserve">To find more about USAID Energy Security Project, follow us on Facebook </w:t>
      </w:r>
      <w:hyperlink r:id="rId9" w:history="1">
        <w:r w:rsidRPr="000A310F">
          <w:rPr>
            <w:rStyle w:val="Hyperlink"/>
            <w:rFonts w:eastAsia="Times New Roman"/>
          </w:rPr>
          <w:t>https://www.facebook.com/usaidesp/</w:t>
        </w:r>
      </w:hyperlink>
      <w:r w:rsidRPr="000A310F">
        <w:rPr>
          <w:rFonts w:eastAsia="Times New Roman"/>
        </w:rPr>
        <w:t>.</w:t>
      </w:r>
    </w:p>
    <w:sectPr w:rsidR="0076681D" w:rsidRPr="0076681D" w:rsidSect="006F2164">
      <w:headerReference w:type="default" r:id="rId10"/>
      <w:footerReference w:type="default" r:id="rId11"/>
      <w:headerReference w:type="first" r:id="rId12"/>
      <w:footerReference w:type="first" r:id="rId13"/>
      <w:type w:val="continuous"/>
      <w:pgSz w:w="11906" w:h="16838" w:code="9"/>
      <w:pgMar w:top="2268" w:right="1440" w:bottom="1435" w:left="1440" w:header="14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4325" w14:textId="77777777" w:rsidR="005F5EBE" w:rsidRPr="00030DDE" w:rsidRDefault="005F5EBE" w:rsidP="00030DDE">
      <w:r>
        <w:separator/>
      </w:r>
    </w:p>
  </w:endnote>
  <w:endnote w:type="continuationSeparator" w:id="0">
    <w:p w14:paraId="2DD56254" w14:textId="77777777" w:rsidR="005F5EBE" w:rsidRPr="00030DDE" w:rsidRDefault="005F5EBE" w:rsidP="0003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3F15" w14:textId="2F9D1D5E" w:rsidR="00DF6BD0" w:rsidRPr="00245027" w:rsidRDefault="00FB642F" w:rsidP="00044144">
    <w:pPr>
      <w:pStyle w:val="Footer"/>
      <w:tabs>
        <w:tab w:val="clear" w:pos="4320"/>
        <w:tab w:val="clear" w:pos="8640"/>
        <w:tab w:val="right" w:pos="9026"/>
      </w:tabs>
    </w:pPr>
    <w:r w:rsidRPr="00FB642F">
      <w:t>energysecurityua.org</w:t>
    </w:r>
    <w:hyperlink r:id="rId1" w:history="1"/>
    <w:r w:rsidR="00C077D6" w:rsidRPr="00245027">
      <w:tab/>
    </w:r>
    <w:r w:rsidR="00F65AD1" w:rsidRPr="00F65AD1">
      <w:t>job announcement</w:t>
    </w:r>
    <w:r w:rsidR="001F29CB">
      <w:t xml:space="preserve"> – </w:t>
    </w:r>
    <w:r w:rsidR="000A310F">
      <w:t>Key Expert on Remit Secondary legislation</w:t>
    </w:r>
    <w:r w:rsidR="00C077D6" w:rsidRPr="00245027">
      <w:t xml:space="preserve">     |     </w:t>
    </w:r>
    <w:sdt>
      <w:sdtPr>
        <w:id w:val="-324827907"/>
        <w:docPartObj>
          <w:docPartGallery w:val="Page Numbers (Bottom of Page)"/>
          <w:docPartUnique/>
        </w:docPartObj>
      </w:sdtPr>
      <w:sdtEndPr/>
      <w:sdtContent>
        <w:r w:rsidR="00C077D6" w:rsidRPr="00245027">
          <w:fldChar w:fldCharType="begin"/>
        </w:r>
        <w:r w:rsidR="00C077D6" w:rsidRPr="00245027">
          <w:instrText xml:space="preserve"> PAGE   \* MERGEFORMAT </w:instrText>
        </w:r>
        <w:r w:rsidR="00C077D6" w:rsidRPr="00245027">
          <w:fldChar w:fldCharType="separate"/>
        </w:r>
        <w:r w:rsidR="00C077D6" w:rsidRPr="00245027">
          <w:t>2</w:t>
        </w:r>
        <w:r w:rsidR="00C077D6" w:rsidRPr="00245027">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C6D9" w14:textId="77777777" w:rsidR="006F2164" w:rsidRDefault="006F2164" w:rsidP="00C077D6">
    <w:pPr>
      <w:pStyle w:val="Disclaimer"/>
    </w:pPr>
    <w:bookmarkStart w:id="2" w:name="_Hlk8916741"/>
    <w:bookmarkStart w:id="3" w:name="_Hlk8916742"/>
    <w:bookmarkStart w:id="4" w:name="_Hlk8916823"/>
    <w:bookmarkStart w:id="5" w:name="_Hlk8916824"/>
  </w:p>
  <w:p w14:paraId="586A5B87" w14:textId="77777777" w:rsidR="006F2164" w:rsidRDefault="006F2164" w:rsidP="00C077D6">
    <w:pPr>
      <w:pStyle w:val="Disclaimer"/>
    </w:pPr>
  </w:p>
  <w:p w14:paraId="357F3F67" w14:textId="77777777" w:rsidR="006F2164" w:rsidRDefault="006F2164" w:rsidP="00C077D6">
    <w:pPr>
      <w:pStyle w:val="Disclaimer"/>
    </w:pPr>
  </w:p>
  <w:p w14:paraId="282BBD71" w14:textId="03462828" w:rsidR="00C077D6" w:rsidRPr="00030DDE" w:rsidRDefault="00C077D6" w:rsidP="00C077D6">
    <w:pPr>
      <w:pStyle w:val="Disclaimer"/>
    </w:pPr>
    <w:r w:rsidRPr="00030DDE">
      <w:t>This document is made possible by the support of the American people through the United States Agency for International Development (USAID). The contents of this document are the sole responsibility of Tetra Tech ES, Inc., and do not necessarily reflect the views of USAID or the United States Government. This document was prepared by Tetra Tech ES, Inc., USAID Contractor for the Energy Security Project (ESP), USAID contract 72012118C00003.</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AA88" w14:textId="77777777" w:rsidR="005F5EBE" w:rsidRPr="00030DDE" w:rsidRDefault="005F5EBE" w:rsidP="00030DDE">
      <w:r>
        <w:separator/>
      </w:r>
    </w:p>
  </w:footnote>
  <w:footnote w:type="continuationSeparator" w:id="0">
    <w:p w14:paraId="544FC518" w14:textId="77777777" w:rsidR="005F5EBE" w:rsidRPr="00030DDE" w:rsidRDefault="005F5EBE" w:rsidP="00030DDE">
      <w:r>
        <w:continuationSeparator/>
      </w:r>
    </w:p>
  </w:footnote>
  <w:footnote w:id="1">
    <w:p w14:paraId="3FB75688" w14:textId="77777777" w:rsidR="0076681D" w:rsidRPr="0076681D" w:rsidRDefault="0076681D" w:rsidP="0076681D">
      <w:pPr>
        <w:pStyle w:val="FootnoteText"/>
        <w:ind w:left="0" w:firstLine="0"/>
        <w:rPr>
          <w:rFonts w:ascii="Gill Sans MT" w:hAnsi="Gill Sans MT"/>
          <w:color w:val="6C6463" w:themeColor="accent4"/>
        </w:rPr>
      </w:pPr>
      <w:r w:rsidRPr="0076681D">
        <w:rPr>
          <w:rStyle w:val="FootnoteReference"/>
          <w:rFonts w:ascii="Gill Sans MT" w:hAnsi="Gill Sans MT"/>
          <w:color w:val="6C6463" w:themeColor="accent4"/>
        </w:rPr>
        <w:footnoteRef/>
      </w:r>
      <w:r w:rsidRPr="0076681D">
        <w:rPr>
          <w:rFonts w:ascii="Gill Sans MT" w:hAnsi="Gill Sans MT"/>
          <w:color w:val="6C6463" w:themeColor="accent4"/>
        </w:rPr>
        <w:t xml:space="preserve"> </w:t>
      </w:r>
      <w:hyperlink r:id="rId1" w:history="1">
        <w:r w:rsidRPr="0076681D">
          <w:rPr>
            <w:rStyle w:val="Hyperlink"/>
            <w:color w:val="0067B9" w:themeColor="accent2"/>
            <w:sz w:val="20"/>
          </w:rPr>
          <w:t>https://www.usaid.gov/</w:t>
        </w:r>
      </w:hyperlink>
    </w:p>
  </w:footnote>
  <w:footnote w:id="2">
    <w:p w14:paraId="777F6EC1" w14:textId="77777777" w:rsidR="0076681D" w:rsidRPr="0076681D" w:rsidRDefault="0076681D" w:rsidP="0076681D">
      <w:pPr>
        <w:pStyle w:val="FootnoteText"/>
        <w:ind w:left="0" w:firstLine="0"/>
        <w:rPr>
          <w:rFonts w:ascii="Gill Sans MT" w:hAnsi="Gill Sans MT"/>
          <w:color w:val="6C6463" w:themeColor="accent4"/>
        </w:rPr>
      </w:pPr>
      <w:r w:rsidRPr="0076681D">
        <w:rPr>
          <w:rStyle w:val="FootnoteReference"/>
          <w:rFonts w:ascii="Gill Sans MT" w:hAnsi="Gill Sans MT"/>
          <w:color w:val="6C6463" w:themeColor="accent4"/>
        </w:rPr>
        <w:footnoteRef/>
      </w:r>
      <w:r w:rsidRPr="0076681D">
        <w:rPr>
          <w:rFonts w:ascii="Gill Sans MT" w:hAnsi="Gill Sans MT"/>
          <w:color w:val="6C6463" w:themeColor="accent4"/>
        </w:rPr>
        <w:t xml:space="preserve"> </w:t>
      </w:r>
      <w:hyperlink r:id="rId2" w:history="1">
        <w:r w:rsidRPr="0076681D">
          <w:rPr>
            <w:rStyle w:val="Hyperlink"/>
            <w:color w:val="0067B9" w:themeColor="accent2"/>
            <w:sz w:val="20"/>
          </w:rPr>
          <w:t>http://www.tetratech.com/en/markets/international-development</w:t>
        </w:r>
      </w:hyperlink>
      <w:r w:rsidRPr="0076681D">
        <w:rPr>
          <w:rFonts w:ascii="Gill Sans MT" w:hAnsi="Gill Sans MT"/>
          <w:color w:val="0067B9" w:themeColor="accent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494E" w14:textId="77777777" w:rsidR="00D00129" w:rsidRDefault="00C077D6">
    <w:pPr>
      <w:pStyle w:val="Header"/>
    </w:pPr>
    <w:r w:rsidRPr="00030DDE">
      <w:rPr>
        <w:noProof/>
      </w:rPr>
      <mc:AlternateContent>
        <mc:Choice Requires="wps">
          <w:drawing>
            <wp:anchor distT="45720" distB="45720" distL="114300" distR="114300" simplePos="0" relativeHeight="251660288" behindDoc="0" locked="0" layoutInCell="1" allowOverlap="1" wp14:anchorId="235F9D30" wp14:editId="261E00CC">
              <wp:simplePos x="0" y="0"/>
              <wp:positionH relativeFrom="column">
                <wp:posOffset>2619375</wp:posOffset>
              </wp:positionH>
              <wp:positionV relativeFrom="paragraph">
                <wp:posOffset>-452755</wp:posOffset>
              </wp:positionV>
              <wp:extent cx="3476625" cy="353060"/>
              <wp:effectExtent l="0" t="0" r="9525" b="8890"/>
              <wp:wrapThrough wrapText="bothSides">
                <wp:wrapPolygon edited="0">
                  <wp:start x="0" y="0"/>
                  <wp:lineTo x="0" y="20978"/>
                  <wp:lineTo x="21541" y="20978"/>
                  <wp:lineTo x="2154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53060"/>
                      </a:xfrm>
                      <a:prstGeom prst="rect">
                        <a:avLst/>
                      </a:prstGeom>
                      <a:solidFill>
                        <a:srgbClr val="FFFFFF"/>
                      </a:solidFill>
                      <a:ln w="9525">
                        <a:noFill/>
                        <a:miter lim="800000"/>
                        <a:headEnd/>
                        <a:tailEnd/>
                      </a:ln>
                    </wps:spPr>
                    <wps:txbx>
                      <w:txbxContent>
                        <w:p w14:paraId="0943DFF8" w14:textId="77777777" w:rsidR="00D00129" w:rsidRPr="00C077D6" w:rsidRDefault="00C077D6" w:rsidP="00C077D6">
                          <w:pPr>
                            <w:pStyle w:val="ESPTitle"/>
                          </w:pPr>
                          <w:r w:rsidRPr="00C077D6">
                            <w:t>ENERGY SECURITY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F9D30" id="_x0000_t202" coordsize="21600,21600" o:spt="202" path="m,l,21600r21600,l21600,xe">
              <v:stroke joinstyle="miter"/>
              <v:path gradientshapeok="t" o:connecttype="rect"/>
            </v:shapetype>
            <v:shape id="Text Box 2" o:spid="_x0000_s1026" type="#_x0000_t202" style="position:absolute;margin-left:206.25pt;margin-top:-35.65pt;width:273.75pt;height:2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" stroked="f">
              <v:textbox>
                <w:txbxContent>
                  <w:p w14:paraId="0943DFF8" w14:textId="77777777" w:rsidR="00D00129" w:rsidRPr="00C077D6" w:rsidRDefault="00C077D6" w:rsidP="00C077D6">
                    <w:pPr>
                      <w:pStyle w:val="ESPTitle"/>
                    </w:pPr>
                    <w:r w:rsidRPr="00C077D6">
                      <w:t>ENERGY SECURITY PROJECT</w:t>
                    </w:r>
                  </w:p>
                </w:txbxContent>
              </v:textbox>
              <w10:wrap type="through"/>
            </v:shape>
          </w:pict>
        </mc:Fallback>
      </mc:AlternateContent>
    </w:r>
    <w:r w:rsidRPr="00030DDE">
      <w:rPr>
        <w:noProof/>
      </w:rPr>
      <w:drawing>
        <wp:anchor distT="0" distB="0" distL="114300" distR="114300" simplePos="0" relativeHeight="251658240" behindDoc="1" locked="0" layoutInCell="1" allowOverlap="1" wp14:anchorId="68115B16" wp14:editId="7CE0580B">
          <wp:simplePos x="0" y="0"/>
          <wp:positionH relativeFrom="page">
            <wp:posOffset>914400</wp:posOffset>
          </wp:positionH>
          <wp:positionV relativeFrom="topMargin">
            <wp:posOffset>385445</wp:posOffset>
          </wp:positionV>
          <wp:extent cx="1810800" cy="547200"/>
          <wp:effectExtent l="0" t="0" r="0" b="5715"/>
          <wp:wrapThrough wrapText="bothSides">
            <wp:wrapPolygon edited="0">
              <wp:start x="1591" y="0"/>
              <wp:lineTo x="0" y="3763"/>
              <wp:lineTo x="0" y="17310"/>
              <wp:lineTo x="1591" y="21073"/>
              <wp:lineTo x="4546" y="21073"/>
              <wp:lineTo x="21365" y="19568"/>
              <wp:lineTo x="21365" y="3010"/>
              <wp:lineTo x="4546" y="0"/>
              <wp:lineTo x="1591"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1810800"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CA8E" w14:textId="77777777" w:rsidR="00C077D6" w:rsidRDefault="00C077D6">
    <w:pPr>
      <w:pStyle w:val="Header"/>
    </w:pPr>
    <w:r w:rsidRPr="00C077D6">
      <w:rPr>
        <w:noProof/>
      </w:rPr>
      <mc:AlternateContent>
        <mc:Choice Requires="wps">
          <w:drawing>
            <wp:anchor distT="45720" distB="45720" distL="114300" distR="114300" simplePos="0" relativeHeight="251663360" behindDoc="0" locked="0" layoutInCell="1" allowOverlap="1" wp14:anchorId="459EA444" wp14:editId="7210B1B9">
              <wp:simplePos x="0" y="0"/>
              <wp:positionH relativeFrom="column">
                <wp:posOffset>2621280</wp:posOffset>
              </wp:positionH>
              <wp:positionV relativeFrom="paragraph">
                <wp:posOffset>-453390</wp:posOffset>
              </wp:positionV>
              <wp:extent cx="3477600" cy="352800"/>
              <wp:effectExtent l="0" t="0" r="8890" b="9525"/>
              <wp:wrapThrough wrapText="bothSides">
                <wp:wrapPolygon edited="0">
                  <wp:start x="0" y="0"/>
                  <wp:lineTo x="0" y="21016"/>
                  <wp:lineTo x="21537" y="21016"/>
                  <wp:lineTo x="21537"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600" cy="352800"/>
                      </a:xfrm>
                      <a:prstGeom prst="rect">
                        <a:avLst/>
                      </a:prstGeom>
                      <a:solidFill>
                        <a:srgbClr val="FFFFFF"/>
                      </a:solidFill>
                      <a:ln w="9525">
                        <a:noFill/>
                        <a:miter lim="800000"/>
                        <a:headEnd/>
                        <a:tailEnd/>
                      </a:ln>
                    </wps:spPr>
                    <wps:txbx>
                      <w:txbxContent>
                        <w:p w14:paraId="258817E3" w14:textId="77777777" w:rsidR="00C077D6" w:rsidRPr="00C077D6" w:rsidRDefault="00C077D6" w:rsidP="00C077D6">
                          <w:pPr>
                            <w:pStyle w:val="ESPTitle"/>
                          </w:pPr>
                          <w:r w:rsidRPr="00C077D6">
                            <w:t>ENERGY SECURITY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EA444" id="_x0000_t202" coordsize="21600,21600" o:spt="202" path="m,l,21600r21600,l21600,xe">
              <v:stroke joinstyle="miter"/>
              <v:path gradientshapeok="t" o:connecttype="rect"/>
            </v:shapetype>
            <v:shape id="_x0000_s1027" type="#_x0000_t202" style="position:absolute;margin-left:206.4pt;margin-top:-35.7pt;width:273.85pt;height:2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" stroked="f">
              <v:textbox>
                <w:txbxContent>
                  <w:p w14:paraId="258817E3" w14:textId="77777777" w:rsidR="00C077D6" w:rsidRPr="00C077D6" w:rsidRDefault="00C077D6" w:rsidP="00C077D6">
                    <w:pPr>
                      <w:pStyle w:val="ESPTitle"/>
                    </w:pPr>
                    <w:r w:rsidRPr="00C077D6">
                      <w:t>ENERGY SECURITY PROJECT</w:t>
                    </w:r>
                  </w:p>
                </w:txbxContent>
              </v:textbox>
              <w10:wrap type="through"/>
            </v:shape>
          </w:pict>
        </mc:Fallback>
      </mc:AlternateContent>
    </w:r>
    <w:r w:rsidRPr="00C077D6">
      <w:rPr>
        <w:noProof/>
      </w:rPr>
      <w:drawing>
        <wp:anchor distT="0" distB="0" distL="114300" distR="114300" simplePos="0" relativeHeight="251662336" behindDoc="1" locked="0" layoutInCell="1" allowOverlap="1" wp14:anchorId="057EEB10" wp14:editId="710C8B2B">
          <wp:simplePos x="0" y="0"/>
          <wp:positionH relativeFrom="page">
            <wp:posOffset>914400</wp:posOffset>
          </wp:positionH>
          <wp:positionV relativeFrom="topMargin">
            <wp:posOffset>385445</wp:posOffset>
          </wp:positionV>
          <wp:extent cx="1810800" cy="547200"/>
          <wp:effectExtent l="0" t="0" r="0" b="5715"/>
          <wp:wrapThrough wrapText="bothSides">
            <wp:wrapPolygon edited="0">
              <wp:start x="1591" y="0"/>
              <wp:lineTo x="0" y="3763"/>
              <wp:lineTo x="0" y="17310"/>
              <wp:lineTo x="1591" y="21073"/>
              <wp:lineTo x="4546" y="21073"/>
              <wp:lineTo x="21365" y="19568"/>
              <wp:lineTo x="21365" y="3010"/>
              <wp:lineTo x="4546" y="0"/>
              <wp:lineTo x="1591" y="0"/>
            </wp:wrapPolygon>
          </wp:wrapThrough>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1810800"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581"/>
    <w:multiLevelType w:val="hybridMultilevel"/>
    <w:tmpl w:val="033E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25B33"/>
    <w:multiLevelType w:val="hybridMultilevel"/>
    <w:tmpl w:val="44282030"/>
    <w:lvl w:ilvl="0" w:tplc="335A928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535D"/>
    <w:multiLevelType w:val="multilevel"/>
    <w:tmpl w:val="A3BC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36075"/>
    <w:multiLevelType w:val="hybridMultilevel"/>
    <w:tmpl w:val="F1F27A74"/>
    <w:lvl w:ilvl="0" w:tplc="997496A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F112D"/>
    <w:multiLevelType w:val="hybridMultilevel"/>
    <w:tmpl w:val="685E68DA"/>
    <w:lvl w:ilvl="0" w:tplc="FEA813B8">
      <w:start w:val="1"/>
      <w:numFmt w:val="bullet"/>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913F4"/>
    <w:multiLevelType w:val="hybridMultilevel"/>
    <w:tmpl w:val="E95E6608"/>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502D9"/>
    <w:multiLevelType w:val="hybridMultilevel"/>
    <w:tmpl w:val="BAF28546"/>
    <w:lvl w:ilvl="0" w:tplc="2F482998">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7" w15:restartNumberingAfterBreak="0">
    <w:nsid w:val="243A06FB"/>
    <w:multiLevelType w:val="hybridMultilevel"/>
    <w:tmpl w:val="D34C8E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F61BB"/>
    <w:multiLevelType w:val="hybridMultilevel"/>
    <w:tmpl w:val="83863D08"/>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071EF"/>
    <w:multiLevelType w:val="hybridMultilevel"/>
    <w:tmpl w:val="4E70B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F26A9"/>
    <w:multiLevelType w:val="hybridMultilevel"/>
    <w:tmpl w:val="98B0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A5595"/>
    <w:multiLevelType w:val="hybridMultilevel"/>
    <w:tmpl w:val="98D25D0C"/>
    <w:lvl w:ilvl="0" w:tplc="F76A26A2">
      <w:start w:val="1"/>
      <w:numFmt w:val="bullet"/>
      <w:pStyle w:val="Bullet1"/>
      <w:lvlText w:val=""/>
      <w:lvlJc w:val="left"/>
      <w:pPr>
        <w:ind w:left="864" w:hanging="360"/>
      </w:pPr>
      <w:rPr>
        <w:rFonts w:ascii="Symbol" w:hAnsi="Symbol" w:hint="default"/>
        <w:color w:val="6C6463"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403D4C"/>
    <w:multiLevelType w:val="hybridMultilevel"/>
    <w:tmpl w:val="881061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50B56"/>
    <w:multiLevelType w:val="hybridMultilevel"/>
    <w:tmpl w:val="2BD03232"/>
    <w:lvl w:ilvl="0" w:tplc="FEA813B8">
      <w:start w:val="1"/>
      <w:numFmt w:val="bullet"/>
      <w:lvlText w:val="‒"/>
      <w:lvlJc w:val="left"/>
      <w:pPr>
        <w:ind w:left="720" w:hanging="360"/>
      </w:pPr>
      <w:rPr>
        <w:rFonts w:ascii="Arial" w:hAnsi="Arial"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2BF4D06"/>
    <w:multiLevelType w:val="hybridMultilevel"/>
    <w:tmpl w:val="52D89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3AA1325"/>
    <w:multiLevelType w:val="hybridMultilevel"/>
    <w:tmpl w:val="6F2C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35E7B"/>
    <w:multiLevelType w:val="hybridMultilevel"/>
    <w:tmpl w:val="3B72EC2C"/>
    <w:lvl w:ilvl="0" w:tplc="64A45500">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E1286"/>
    <w:multiLevelType w:val="hybridMultilevel"/>
    <w:tmpl w:val="AAEE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3117B"/>
    <w:multiLevelType w:val="hybridMultilevel"/>
    <w:tmpl w:val="A032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A21538"/>
    <w:multiLevelType w:val="hybridMultilevel"/>
    <w:tmpl w:val="D214E09E"/>
    <w:lvl w:ilvl="0" w:tplc="59BC01F8">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5493E"/>
    <w:multiLevelType w:val="hybridMultilevel"/>
    <w:tmpl w:val="04BCEB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9282E"/>
    <w:multiLevelType w:val="hybridMultilevel"/>
    <w:tmpl w:val="E7649A3E"/>
    <w:lvl w:ilvl="0" w:tplc="A470E872">
      <w:start w:val="1"/>
      <w:numFmt w:val="bullet"/>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C216E"/>
    <w:multiLevelType w:val="hybridMultilevel"/>
    <w:tmpl w:val="4ADA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6035E4"/>
    <w:multiLevelType w:val="hybridMultilevel"/>
    <w:tmpl w:val="E0AA81B0"/>
    <w:lvl w:ilvl="0" w:tplc="1158CD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BD00C9"/>
    <w:multiLevelType w:val="hybridMultilevel"/>
    <w:tmpl w:val="30FA54E6"/>
    <w:lvl w:ilvl="0" w:tplc="052E31E6">
      <w:numFmt w:val="bullet"/>
      <w:lvlText w:val="•"/>
      <w:lvlJc w:val="left"/>
      <w:pPr>
        <w:ind w:left="360" w:hanging="360"/>
      </w:pPr>
      <w:rPr>
        <w:rFonts w:ascii="Gill Sans MT" w:eastAsia="Times New Roman" w:hAnsi="Gill Sans M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20005E"/>
    <w:multiLevelType w:val="hybridMultilevel"/>
    <w:tmpl w:val="778CBA1C"/>
    <w:lvl w:ilvl="0" w:tplc="BD26EAD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648F0"/>
    <w:multiLevelType w:val="hybridMultilevel"/>
    <w:tmpl w:val="2300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23592"/>
    <w:multiLevelType w:val="hybridMultilevel"/>
    <w:tmpl w:val="BA5E19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3502D1"/>
    <w:multiLevelType w:val="hybridMultilevel"/>
    <w:tmpl w:val="E312B320"/>
    <w:lvl w:ilvl="0" w:tplc="897AA0E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E7ECC"/>
    <w:multiLevelType w:val="hybridMultilevel"/>
    <w:tmpl w:val="4A8A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AC7B27"/>
    <w:multiLevelType w:val="hybridMultilevel"/>
    <w:tmpl w:val="ACA6D5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7DA904D5"/>
    <w:multiLevelType w:val="hybridMultilevel"/>
    <w:tmpl w:val="1030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70E63"/>
    <w:multiLevelType w:val="hybridMultilevel"/>
    <w:tmpl w:val="D44CFC64"/>
    <w:lvl w:ilvl="0" w:tplc="B54A588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28"/>
  </w:num>
  <w:num w:numId="4">
    <w:abstractNumId w:val="11"/>
  </w:num>
  <w:num w:numId="5">
    <w:abstractNumId w:val="8"/>
  </w:num>
  <w:num w:numId="6">
    <w:abstractNumId w:val="5"/>
  </w:num>
  <w:num w:numId="7">
    <w:abstractNumId w:val="4"/>
  </w:num>
  <w:num w:numId="8">
    <w:abstractNumId w:val="21"/>
  </w:num>
  <w:num w:numId="9">
    <w:abstractNumId w:val="13"/>
  </w:num>
  <w:num w:numId="10">
    <w:abstractNumId w:val="6"/>
  </w:num>
  <w:num w:numId="11">
    <w:abstractNumId w:val="25"/>
  </w:num>
  <w:num w:numId="12">
    <w:abstractNumId w:val="30"/>
  </w:num>
  <w:num w:numId="13">
    <w:abstractNumId w:val="22"/>
  </w:num>
  <w:num w:numId="14">
    <w:abstractNumId w:val="26"/>
  </w:num>
  <w:num w:numId="15">
    <w:abstractNumId w:val="14"/>
  </w:num>
  <w:num w:numId="16">
    <w:abstractNumId w:val="18"/>
  </w:num>
  <w:num w:numId="17">
    <w:abstractNumId w:val="17"/>
  </w:num>
  <w:num w:numId="18">
    <w:abstractNumId w:val="0"/>
  </w:num>
  <w:num w:numId="19">
    <w:abstractNumId w:val="29"/>
  </w:num>
  <w:num w:numId="20">
    <w:abstractNumId w:val="10"/>
  </w:num>
  <w:num w:numId="21">
    <w:abstractNumId w:val="24"/>
  </w:num>
  <w:num w:numId="22">
    <w:abstractNumId w:val="2"/>
  </w:num>
  <w:num w:numId="23">
    <w:abstractNumId w:val="31"/>
  </w:num>
  <w:num w:numId="24">
    <w:abstractNumId w:val="15"/>
  </w:num>
  <w:num w:numId="25">
    <w:abstractNumId w:val="9"/>
  </w:num>
  <w:num w:numId="26">
    <w:abstractNumId w:val="1"/>
  </w:num>
  <w:num w:numId="27">
    <w:abstractNumId w:val="7"/>
  </w:num>
  <w:num w:numId="28">
    <w:abstractNumId w:val="16"/>
  </w:num>
  <w:num w:numId="29">
    <w:abstractNumId w:val="20"/>
  </w:num>
  <w:num w:numId="30">
    <w:abstractNumId w:val="3"/>
  </w:num>
  <w:num w:numId="31">
    <w:abstractNumId w:val="27"/>
  </w:num>
  <w:num w:numId="32">
    <w:abstractNumId w:val="1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357"/>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xszAyMDc3NjY2NzFX0lEKTi0uzszPAykwrAUACNFd3CwAAAA="/>
  </w:docVars>
  <w:rsids>
    <w:rsidRoot w:val="005B2962"/>
    <w:rsid w:val="000002BB"/>
    <w:rsid w:val="00030DDE"/>
    <w:rsid w:val="00044144"/>
    <w:rsid w:val="00075CC4"/>
    <w:rsid w:val="000A310F"/>
    <w:rsid w:val="00101B57"/>
    <w:rsid w:val="00123F28"/>
    <w:rsid w:val="00166DA3"/>
    <w:rsid w:val="00170B71"/>
    <w:rsid w:val="001C55A3"/>
    <w:rsid w:val="001F29CB"/>
    <w:rsid w:val="00213328"/>
    <w:rsid w:val="00245027"/>
    <w:rsid w:val="00267796"/>
    <w:rsid w:val="00297075"/>
    <w:rsid w:val="002E46CC"/>
    <w:rsid w:val="003238A7"/>
    <w:rsid w:val="00341A29"/>
    <w:rsid w:val="0035066A"/>
    <w:rsid w:val="003A3398"/>
    <w:rsid w:val="003C339D"/>
    <w:rsid w:val="00422B6E"/>
    <w:rsid w:val="00470050"/>
    <w:rsid w:val="004C79AA"/>
    <w:rsid w:val="00541612"/>
    <w:rsid w:val="005B2962"/>
    <w:rsid w:val="005F5EBE"/>
    <w:rsid w:val="006F2164"/>
    <w:rsid w:val="00714F02"/>
    <w:rsid w:val="007434F6"/>
    <w:rsid w:val="00755A0A"/>
    <w:rsid w:val="0076681D"/>
    <w:rsid w:val="007F5AA4"/>
    <w:rsid w:val="00870838"/>
    <w:rsid w:val="008A6979"/>
    <w:rsid w:val="008C0DFA"/>
    <w:rsid w:val="008E31D5"/>
    <w:rsid w:val="009914EE"/>
    <w:rsid w:val="009E0D01"/>
    <w:rsid w:val="00A063B5"/>
    <w:rsid w:val="00A6660C"/>
    <w:rsid w:val="00A744E5"/>
    <w:rsid w:val="00AD307C"/>
    <w:rsid w:val="00B90837"/>
    <w:rsid w:val="00C077D6"/>
    <w:rsid w:val="00C269D8"/>
    <w:rsid w:val="00C56848"/>
    <w:rsid w:val="00C86D51"/>
    <w:rsid w:val="00CD62E2"/>
    <w:rsid w:val="00CF0B06"/>
    <w:rsid w:val="00D00129"/>
    <w:rsid w:val="00D26AB1"/>
    <w:rsid w:val="00D64FAF"/>
    <w:rsid w:val="00D650C4"/>
    <w:rsid w:val="00DA4F60"/>
    <w:rsid w:val="00DE7110"/>
    <w:rsid w:val="00DF6BD0"/>
    <w:rsid w:val="00E40185"/>
    <w:rsid w:val="00E65E1E"/>
    <w:rsid w:val="00EA661E"/>
    <w:rsid w:val="00EB0F85"/>
    <w:rsid w:val="00EE65BD"/>
    <w:rsid w:val="00EE7E98"/>
    <w:rsid w:val="00F17804"/>
    <w:rsid w:val="00F65AD1"/>
    <w:rsid w:val="00F7513C"/>
    <w:rsid w:val="00F868EE"/>
    <w:rsid w:val="00FB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4F9FE9"/>
  <w15:chartTrackingRefBased/>
  <w15:docId w15:val="{BE86354C-A371-4E95-921B-C333DD8E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4C79AA"/>
    <w:pPr>
      <w:spacing w:after="240" w:line="280" w:lineRule="atLeast"/>
    </w:pPr>
    <w:rPr>
      <w:rFonts w:ascii="Gill Sans MT" w:eastAsiaTheme="minorEastAsia" w:hAnsi="Gill Sans MT" w:cs="GillSansMTStd-Book"/>
      <w:color w:val="6C6463"/>
    </w:rPr>
  </w:style>
  <w:style w:type="paragraph" w:styleId="Heading1">
    <w:name w:val="heading 1"/>
    <w:next w:val="Normal"/>
    <w:link w:val="Heading1Char"/>
    <w:uiPriority w:val="1"/>
    <w:qFormat/>
    <w:rsid w:val="004C79AA"/>
    <w:pPr>
      <w:spacing w:before="360" w:after="120" w:line="240" w:lineRule="auto"/>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9"/>
    <w:qFormat/>
    <w:rsid w:val="004C79AA"/>
    <w:pPr>
      <w:spacing w:before="360" w:after="120"/>
      <w:outlineLvl w:val="1"/>
    </w:pPr>
    <w:rPr>
      <w:b/>
      <w:bCs/>
      <w:caps/>
      <w:color w:val="auto"/>
      <w:sz w:val="20"/>
    </w:rPr>
  </w:style>
  <w:style w:type="paragraph" w:styleId="Heading3">
    <w:name w:val="heading 3"/>
    <w:basedOn w:val="Heading2"/>
    <w:next w:val="Normal"/>
    <w:link w:val="Heading3Char"/>
    <w:uiPriority w:val="9"/>
    <w:qFormat/>
    <w:rsid w:val="004C79AA"/>
    <w:pPr>
      <w:outlineLvl w:val="2"/>
    </w:pPr>
    <w:rPr>
      <w:b w:val="0"/>
      <w:bCs w:val="0"/>
      <w:color w:val="C2113A"/>
      <w:szCs w:val="20"/>
    </w:rPr>
  </w:style>
  <w:style w:type="paragraph" w:styleId="Heading4">
    <w:name w:val="heading 4"/>
    <w:aliases w:val="Run-In"/>
    <w:next w:val="Normal"/>
    <w:link w:val="Heading4Char"/>
    <w:uiPriority w:val="4"/>
    <w:qFormat/>
    <w:rsid w:val="004C79AA"/>
    <w:pPr>
      <w:spacing w:after="0" w:line="240" w:lineRule="auto"/>
      <w:outlineLvl w:val="3"/>
    </w:pPr>
    <w:rPr>
      <w:rFonts w:ascii="Gill Sans MT" w:eastAsiaTheme="minorEastAsia" w:hAnsi="Gill Sans MT" w:cs="GillSansMTStd-Book"/>
      <w:b/>
      <w:bCs/>
      <w:caps/>
      <w:color w:val="6C6463"/>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9A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C79AA"/>
    <w:rPr>
      <w:rFonts w:ascii="Lucida Grande" w:eastAsiaTheme="minorEastAsia" w:hAnsi="Lucida Grande" w:cs="GillSansMTStd-Book"/>
      <w:color w:val="6C6463"/>
      <w:sz w:val="18"/>
      <w:szCs w:val="18"/>
    </w:rPr>
  </w:style>
  <w:style w:type="paragraph" w:customStyle="1" w:styleId="Bullet1">
    <w:name w:val="Bullet 1"/>
    <w:basedOn w:val="Normal"/>
    <w:uiPriority w:val="6"/>
    <w:qFormat/>
    <w:rsid w:val="004C79AA"/>
    <w:pPr>
      <w:numPr>
        <w:numId w:val="4"/>
      </w:numPr>
      <w:ind w:left="272" w:hanging="272"/>
    </w:pPr>
  </w:style>
  <w:style w:type="paragraph" w:customStyle="1" w:styleId="Bullet2">
    <w:name w:val="Bullet 2"/>
    <w:uiPriority w:val="7"/>
    <w:qFormat/>
    <w:rsid w:val="00B90837"/>
    <w:pPr>
      <w:numPr>
        <w:numId w:val="5"/>
      </w:numPr>
      <w:spacing w:after="240" w:line="280" w:lineRule="atLeast"/>
      <w:ind w:left="714" w:hanging="357"/>
    </w:pPr>
    <w:rPr>
      <w:rFonts w:ascii="Gill Sans MT" w:eastAsiaTheme="minorEastAsia" w:hAnsi="Gill Sans MT" w:cs="GillSansMTStd-Book"/>
      <w:color w:val="6C6463"/>
    </w:rPr>
  </w:style>
  <w:style w:type="paragraph" w:customStyle="1" w:styleId="CaptionBox">
    <w:name w:val="Caption Box"/>
    <w:uiPriority w:val="29"/>
    <w:qFormat/>
    <w:rsid w:val="004C79AA"/>
    <w:pPr>
      <w:spacing w:before="120" w:after="120" w:line="240" w:lineRule="auto"/>
    </w:pPr>
    <w:rPr>
      <w:rFonts w:ascii="Gill Sans MT" w:eastAsiaTheme="minorEastAsia" w:hAnsi="Gill Sans MT" w:cs="GillSansMTStd-Book"/>
      <w:color w:val="6C6463"/>
      <w:sz w:val="16"/>
      <w:szCs w:val="16"/>
    </w:rPr>
  </w:style>
  <w:style w:type="paragraph" w:customStyle="1" w:styleId="Disclaimer">
    <w:name w:val="Disclaimer"/>
    <w:basedOn w:val="Normal"/>
    <w:uiPriority w:val="29"/>
    <w:qFormat/>
    <w:rsid w:val="004C79AA"/>
    <w:pPr>
      <w:spacing w:after="0" w:line="240" w:lineRule="auto"/>
    </w:pPr>
    <w:rPr>
      <w:sz w:val="16"/>
      <w:szCs w:val="16"/>
    </w:rPr>
  </w:style>
  <w:style w:type="character" w:styleId="FollowedHyperlink">
    <w:name w:val="FollowedHyperlink"/>
    <w:basedOn w:val="DefaultParagraphFont"/>
    <w:uiPriority w:val="99"/>
    <w:semiHidden/>
    <w:unhideWhenUsed/>
    <w:rsid w:val="004C79AA"/>
    <w:rPr>
      <w:rFonts w:ascii="Gill Sans MT" w:hAnsi="Gill Sans MT"/>
      <w:b w:val="0"/>
      <w:i w:val="0"/>
      <w:color w:val="7F7F7F" w:themeColor="text1" w:themeTint="80"/>
      <w:sz w:val="22"/>
      <w:u w:val="single"/>
    </w:rPr>
  </w:style>
  <w:style w:type="paragraph" w:styleId="Footer">
    <w:name w:val="footer"/>
    <w:basedOn w:val="Normal"/>
    <w:link w:val="FooterChar"/>
    <w:uiPriority w:val="99"/>
    <w:unhideWhenUsed/>
    <w:qFormat/>
    <w:rsid w:val="00245027"/>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245027"/>
    <w:rPr>
      <w:rFonts w:ascii="Gill Sans MT" w:eastAsiaTheme="minorEastAsia" w:hAnsi="Gill Sans MT" w:cs="GillSansMTStd-Book"/>
      <w:caps/>
      <w:color w:val="6C6463"/>
      <w:sz w:val="16"/>
      <w:szCs w:val="16"/>
    </w:rPr>
  </w:style>
  <w:style w:type="paragraph" w:styleId="Header">
    <w:name w:val="header"/>
    <w:basedOn w:val="Normal"/>
    <w:link w:val="HeaderChar"/>
    <w:uiPriority w:val="99"/>
    <w:unhideWhenUsed/>
    <w:rsid w:val="004C79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9AA"/>
    <w:rPr>
      <w:rFonts w:ascii="Gill Sans MT" w:eastAsiaTheme="minorEastAsia" w:hAnsi="Gill Sans MT" w:cs="GillSansMTStd-Book"/>
      <w:color w:val="6C6463"/>
    </w:rPr>
  </w:style>
  <w:style w:type="character" w:customStyle="1" w:styleId="Heading1Char">
    <w:name w:val="Heading 1 Char"/>
    <w:basedOn w:val="DefaultParagraphFont"/>
    <w:link w:val="Heading1"/>
    <w:uiPriority w:val="1"/>
    <w:rsid w:val="004C79AA"/>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9"/>
    <w:rsid w:val="004C79AA"/>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9"/>
    <w:rsid w:val="004C79AA"/>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4"/>
    <w:rsid w:val="004C79AA"/>
    <w:rPr>
      <w:rFonts w:ascii="Gill Sans MT" w:eastAsiaTheme="minorEastAsia" w:hAnsi="Gill Sans MT" w:cs="GillSansMTStd-Book"/>
      <w:b/>
      <w:bCs/>
      <w:caps/>
      <w:color w:val="6C6463"/>
      <w:sz w:val="20"/>
    </w:rPr>
  </w:style>
  <w:style w:type="character" w:styleId="Hyperlink">
    <w:name w:val="Hyperlink"/>
    <w:basedOn w:val="DefaultParagraphFont"/>
    <w:uiPriority w:val="99"/>
    <w:unhideWhenUsed/>
    <w:rsid w:val="004C79AA"/>
    <w:rPr>
      <w:rFonts w:ascii="Gill Sans MT" w:hAnsi="Gill Sans MT"/>
      <w:b w:val="0"/>
      <w:i w:val="0"/>
      <w:color w:val="6C6463"/>
      <w:sz w:val="22"/>
      <w:u w:val="single"/>
    </w:rPr>
  </w:style>
  <w:style w:type="paragraph" w:customStyle="1" w:styleId="In-LinePhoto">
    <w:name w:val="In-Line Photo"/>
    <w:next w:val="Normal"/>
    <w:uiPriority w:val="29"/>
    <w:qFormat/>
    <w:rsid w:val="004C79AA"/>
    <w:pPr>
      <w:spacing w:before="480" w:after="0" w:line="240" w:lineRule="auto"/>
      <w:jc w:val="right"/>
    </w:pPr>
    <w:rPr>
      <w:rFonts w:ascii="Gill Sans MT" w:eastAsiaTheme="minorEastAsia" w:hAnsi="Gill Sans MT"/>
      <w:noProof/>
      <w:color w:val="6C6463"/>
      <w:szCs w:val="20"/>
    </w:rPr>
  </w:style>
  <w:style w:type="paragraph" w:customStyle="1" w:styleId="Instructions">
    <w:name w:val="Instructions"/>
    <w:next w:val="Normal"/>
    <w:uiPriority w:val="29"/>
    <w:qFormat/>
    <w:rsid w:val="004C79AA"/>
    <w:pPr>
      <w:numPr>
        <w:numId w:val="6"/>
      </w:numPr>
      <w:spacing w:before="120" w:after="120" w:line="240" w:lineRule="auto"/>
    </w:pPr>
    <w:rPr>
      <w:rFonts w:ascii="Gill Sans MT" w:eastAsiaTheme="minorEastAsia" w:hAnsi="Gill Sans MT" w:cs="GillSansMTStd-Book"/>
      <w:color w:val="404040" w:themeColor="text1" w:themeTint="BF"/>
      <w:sz w:val="20"/>
    </w:rPr>
  </w:style>
  <w:style w:type="paragraph" w:customStyle="1" w:styleId="Left-Credit">
    <w:name w:val="Left-Credit"/>
    <w:basedOn w:val="Normal"/>
    <w:next w:val="Normal"/>
    <w:uiPriority w:val="29"/>
    <w:qFormat/>
    <w:rsid w:val="004C79AA"/>
    <w:pPr>
      <w:spacing w:before="40" w:after="40" w:line="240" w:lineRule="auto"/>
    </w:pPr>
    <w:rPr>
      <w:caps/>
      <w:noProof/>
      <w:sz w:val="12"/>
      <w:szCs w:val="12"/>
    </w:rPr>
  </w:style>
  <w:style w:type="paragraph" w:customStyle="1" w:styleId="Left-Caption">
    <w:name w:val="Left - Caption"/>
    <w:basedOn w:val="Left-Credit"/>
    <w:uiPriority w:val="29"/>
    <w:qFormat/>
    <w:rsid w:val="004C79AA"/>
    <w:pPr>
      <w:spacing w:before="120" w:after="120"/>
    </w:pPr>
    <w:rPr>
      <w:caps w:val="0"/>
      <w:sz w:val="18"/>
    </w:rPr>
  </w:style>
  <w:style w:type="paragraph" w:styleId="List">
    <w:name w:val="List"/>
    <w:basedOn w:val="Normal"/>
    <w:uiPriority w:val="99"/>
    <w:semiHidden/>
    <w:unhideWhenUsed/>
    <w:rsid w:val="004C79AA"/>
    <w:pPr>
      <w:ind w:left="360" w:hanging="360"/>
      <w:contextualSpacing/>
    </w:pPr>
  </w:style>
  <w:style w:type="paragraph" w:styleId="List2">
    <w:name w:val="List 2"/>
    <w:basedOn w:val="Normal"/>
    <w:uiPriority w:val="99"/>
    <w:semiHidden/>
    <w:unhideWhenUsed/>
    <w:rsid w:val="004C79AA"/>
    <w:pPr>
      <w:ind w:left="720" w:hanging="360"/>
      <w:contextualSpacing/>
    </w:pPr>
  </w:style>
  <w:style w:type="paragraph" w:styleId="NoSpacing">
    <w:name w:val="No Spacing"/>
    <w:uiPriority w:val="29"/>
    <w:qFormat/>
    <w:rsid w:val="004C79AA"/>
    <w:pPr>
      <w:widowControl w:val="0"/>
      <w:autoSpaceDE w:val="0"/>
      <w:autoSpaceDN w:val="0"/>
      <w:adjustRightInd w:val="0"/>
      <w:spacing w:after="0" w:line="240" w:lineRule="auto"/>
      <w:textAlignment w:val="center"/>
    </w:pPr>
    <w:rPr>
      <w:rFonts w:ascii="Gill Sans MT" w:eastAsiaTheme="minorEastAsia" w:hAnsi="Gill Sans MT" w:cs="GillSansMTStd-Book"/>
      <w:color w:val="6C6463"/>
    </w:rPr>
  </w:style>
  <w:style w:type="character" w:styleId="PageNumber">
    <w:name w:val="page number"/>
    <w:basedOn w:val="DefaultParagraphFont"/>
    <w:uiPriority w:val="99"/>
    <w:semiHidden/>
    <w:unhideWhenUsed/>
    <w:rsid w:val="004C79AA"/>
  </w:style>
  <w:style w:type="paragraph" w:customStyle="1" w:styleId="Photo">
    <w:name w:val="Photo"/>
    <w:uiPriority w:val="29"/>
    <w:qFormat/>
    <w:rsid w:val="004C79AA"/>
    <w:pPr>
      <w:spacing w:after="0" w:line="240" w:lineRule="auto"/>
    </w:pPr>
    <w:rPr>
      <w:rFonts w:ascii="Gill Sans MT" w:eastAsiaTheme="minorEastAsia" w:hAnsi="Gill Sans MT"/>
      <w:noProof/>
      <w:color w:val="6C6463"/>
      <w:szCs w:val="20"/>
    </w:rPr>
  </w:style>
  <w:style w:type="paragraph" w:styleId="Subtitle">
    <w:name w:val="Subtitle"/>
    <w:aliases w:val="Intro"/>
    <w:basedOn w:val="Normal"/>
    <w:next w:val="Normal"/>
    <w:link w:val="SubtitleChar"/>
    <w:uiPriority w:val="8"/>
    <w:qFormat/>
    <w:rsid w:val="004C79AA"/>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8"/>
    <w:rsid w:val="004C79AA"/>
    <w:rPr>
      <w:rFonts w:ascii="Gill Sans MT" w:eastAsia="Calibri" w:hAnsi="Gill Sans MT" w:cs="Calibri"/>
      <w:color w:val="6C6463"/>
      <w:sz w:val="40"/>
      <w:szCs w:val="32"/>
    </w:rPr>
  </w:style>
  <w:style w:type="paragraph" w:styleId="Quote">
    <w:name w:val="Quote"/>
    <w:basedOn w:val="Subtitle"/>
    <w:next w:val="Normal"/>
    <w:link w:val="QuoteChar"/>
    <w:uiPriority w:val="29"/>
    <w:qFormat/>
    <w:rsid w:val="004C79AA"/>
    <w:pPr>
      <w:spacing w:before="240" w:after="240" w:line="240" w:lineRule="auto"/>
    </w:pPr>
    <w:rPr>
      <w:sz w:val="28"/>
      <w:szCs w:val="28"/>
    </w:rPr>
  </w:style>
  <w:style w:type="character" w:customStyle="1" w:styleId="QuoteChar">
    <w:name w:val="Quote Char"/>
    <w:basedOn w:val="DefaultParagraphFont"/>
    <w:link w:val="Quote"/>
    <w:uiPriority w:val="29"/>
    <w:rsid w:val="004C79AA"/>
    <w:rPr>
      <w:rFonts w:ascii="Gill Sans MT" w:eastAsia="Calibri" w:hAnsi="Gill Sans MT" w:cs="Calibri"/>
      <w:color w:val="6C6463"/>
      <w:sz w:val="28"/>
      <w:szCs w:val="28"/>
    </w:rPr>
  </w:style>
  <w:style w:type="paragraph" w:customStyle="1" w:styleId="Right-Credit">
    <w:name w:val="Right-Credit"/>
    <w:basedOn w:val="Normal"/>
    <w:next w:val="Normal"/>
    <w:uiPriority w:val="29"/>
    <w:qFormat/>
    <w:rsid w:val="004C79AA"/>
    <w:pPr>
      <w:suppressAutoHyphens/>
      <w:spacing w:before="40" w:after="40" w:line="240" w:lineRule="auto"/>
      <w:jc w:val="right"/>
    </w:pPr>
    <w:rPr>
      <w:caps/>
      <w:spacing w:val="1"/>
      <w:sz w:val="12"/>
      <w:szCs w:val="12"/>
    </w:rPr>
  </w:style>
  <w:style w:type="paragraph" w:customStyle="1" w:styleId="Right-Caption">
    <w:name w:val="Right - Caption"/>
    <w:basedOn w:val="Right-Credit"/>
    <w:uiPriority w:val="29"/>
    <w:qFormat/>
    <w:rsid w:val="004C79AA"/>
    <w:pPr>
      <w:spacing w:before="120" w:after="120"/>
    </w:pPr>
    <w:rPr>
      <w:caps w:val="0"/>
      <w:sz w:val="18"/>
    </w:rPr>
  </w:style>
  <w:style w:type="table" w:styleId="TableGrid">
    <w:name w:val="Table Grid"/>
    <w:basedOn w:val="TableNormal"/>
    <w:uiPriority w:val="39"/>
    <w:rsid w:val="004C79A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9"/>
    <w:qFormat/>
    <w:rsid w:val="004C79AA"/>
    <w:pPr>
      <w:framePr w:hSpace="180" w:wrap="around" w:vAnchor="text" w:hAnchor="page" w:x="1549" w:y="170"/>
      <w:spacing w:before="120" w:after="120" w:line="180" w:lineRule="exact"/>
    </w:pPr>
    <w:rPr>
      <w:caps/>
      <w:sz w:val="18"/>
      <w:szCs w:val="18"/>
    </w:rPr>
  </w:style>
  <w:style w:type="paragraph" w:customStyle="1" w:styleId="TableText">
    <w:name w:val="Table Text"/>
    <w:basedOn w:val="Normal"/>
    <w:uiPriority w:val="29"/>
    <w:qFormat/>
    <w:rsid w:val="004C79AA"/>
    <w:pPr>
      <w:framePr w:hSpace="180" w:wrap="around" w:vAnchor="text" w:hAnchor="page" w:x="1549" w:y="170"/>
      <w:spacing w:before="120" w:after="120" w:line="180" w:lineRule="exact"/>
    </w:pPr>
    <w:rPr>
      <w:sz w:val="18"/>
      <w:szCs w:val="18"/>
    </w:rPr>
  </w:style>
  <w:style w:type="paragraph" w:customStyle="1" w:styleId="TableTitle">
    <w:name w:val="Table Title"/>
    <w:uiPriority w:val="29"/>
    <w:qFormat/>
    <w:rsid w:val="004C79AA"/>
    <w:pPr>
      <w:framePr w:hSpace="180" w:wrap="around" w:vAnchor="text" w:hAnchor="page" w:x="1549" w:y="170"/>
      <w:spacing w:before="120" w:after="120" w:line="180" w:lineRule="exact"/>
    </w:pPr>
    <w:rPr>
      <w:rFonts w:ascii="Gill Sans MT" w:eastAsiaTheme="minorEastAsia" w:hAnsi="Gill Sans MT" w:cs="GillSansMTStd-Book"/>
      <w:b/>
      <w:caps/>
      <w:color w:val="FFFFFF" w:themeColor="background1"/>
      <w:sz w:val="18"/>
      <w:szCs w:val="18"/>
    </w:rPr>
  </w:style>
  <w:style w:type="paragraph" w:styleId="Title">
    <w:name w:val="Title"/>
    <w:basedOn w:val="Normal"/>
    <w:next w:val="Normal"/>
    <w:link w:val="TitleChar"/>
    <w:uiPriority w:val="99"/>
    <w:qFormat/>
    <w:rsid w:val="004C79AA"/>
    <w:pPr>
      <w:spacing w:line="560" w:lineRule="atLeast"/>
      <w:contextualSpacing/>
    </w:pPr>
    <w:rPr>
      <w:rFonts w:eastAsiaTheme="majorEastAsia" w:cstheme="majorBidi"/>
      <w:caps/>
      <w:noProof/>
      <w:color w:val="C2113A"/>
      <w:kern w:val="24"/>
      <w:sz w:val="52"/>
      <w:szCs w:val="52"/>
    </w:rPr>
  </w:style>
  <w:style w:type="character" w:customStyle="1" w:styleId="TitleChar">
    <w:name w:val="Title Char"/>
    <w:basedOn w:val="DefaultParagraphFont"/>
    <w:link w:val="Title"/>
    <w:uiPriority w:val="10"/>
    <w:rsid w:val="004C79AA"/>
    <w:rPr>
      <w:rFonts w:ascii="Gill Sans MT" w:eastAsiaTheme="majorEastAsia" w:hAnsi="Gill Sans MT" w:cstheme="majorBidi"/>
      <w:caps/>
      <w:noProof/>
      <w:color w:val="C2113A"/>
      <w:kern w:val="24"/>
      <w:sz w:val="52"/>
      <w:szCs w:val="52"/>
    </w:rPr>
  </w:style>
  <w:style w:type="paragraph" w:styleId="TOC1">
    <w:name w:val="toc 1"/>
    <w:basedOn w:val="Normal"/>
    <w:next w:val="Normal"/>
    <w:autoRedefine/>
    <w:uiPriority w:val="39"/>
    <w:unhideWhenUsed/>
    <w:rsid w:val="004C79AA"/>
    <w:pPr>
      <w:tabs>
        <w:tab w:val="right" w:pos="8828"/>
      </w:tabs>
      <w:spacing w:before="120" w:after="0"/>
    </w:pPr>
    <w:rPr>
      <w:caps/>
      <w:sz w:val="26"/>
      <w:szCs w:val="26"/>
    </w:rPr>
  </w:style>
  <w:style w:type="paragraph" w:styleId="TOC2">
    <w:name w:val="toc 2"/>
    <w:basedOn w:val="Normal"/>
    <w:next w:val="Normal"/>
    <w:autoRedefine/>
    <w:uiPriority w:val="39"/>
    <w:unhideWhenUsed/>
    <w:rsid w:val="004C79AA"/>
    <w:pPr>
      <w:tabs>
        <w:tab w:val="right" w:pos="8828"/>
      </w:tabs>
      <w:spacing w:after="0"/>
    </w:pPr>
    <w:rPr>
      <w:caps/>
      <w:noProof/>
    </w:rPr>
  </w:style>
  <w:style w:type="paragraph" w:styleId="TOC3">
    <w:name w:val="toc 3"/>
    <w:basedOn w:val="Normal"/>
    <w:next w:val="Normal"/>
    <w:autoRedefine/>
    <w:uiPriority w:val="39"/>
    <w:unhideWhenUsed/>
    <w:rsid w:val="004C79AA"/>
    <w:pPr>
      <w:tabs>
        <w:tab w:val="right" w:pos="8828"/>
      </w:tabs>
      <w:spacing w:after="0"/>
    </w:pPr>
    <w:rPr>
      <w:caps/>
    </w:rPr>
  </w:style>
  <w:style w:type="paragraph" w:styleId="TOC4">
    <w:name w:val="toc 4"/>
    <w:basedOn w:val="Normal"/>
    <w:next w:val="Normal"/>
    <w:autoRedefine/>
    <w:uiPriority w:val="39"/>
    <w:semiHidden/>
    <w:rsid w:val="004C79AA"/>
    <w:pPr>
      <w:spacing w:after="0"/>
      <w:ind w:left="660"/>
    </w:pPr>
    <w:rPr>
      <w:rFonts w:asciiTheme="minorHAnsi" w:hAnsiTheme="minorHAnsi"/>
      <w:sz w:val="20"/>
      <w:szCs w:val="20"/>
    </w:rPr>
  </w:style>
  <w:style w:type="paragraph" w:styleId="TOC5">
    <w:name w:val="toc 5"/>
    <w:basedOn w:val="Normal"/>
    <w:next w:val="Normal"/>
    <w:autoRedefine/>
    <w:uiPriority w:val="39"/>
    <w:semiHidden/>
    <w:rsid w:val="004C79AA"/>
    <w:pPr>
      <w:spacing w:after="0"/>
      <w:ind w:left="880"/>
    </w:pPr>
    <w:rPr>
      <w:rFonts w:asciiTheme="minorHAnsi" w:hAnsiTheme="minorHAnsi"/>
      <w:sz w:val="20"/>
      <w:szCs w:val="20"/>
    </w:rPr>
  </w:style>
  <w:style w:type="paragraph" w:styleId="TOC6">
    <w:name w:val="toc 6"/>
    <w:basedOn w:val="Normal"/>
    <w:next w:val="Normal"/>
    <w:autoRedefine/>
    <w:uiPriority w:val="39"/>
    <w:semiHidden/>
    <w:rsid w:val="004C79AA"/>
    <w:pPr>
      <w:spacing w:after="0"/>
      <w:ind w:left="1100"/>
    </w:pPr>
    <w:rPr>
      <w:rFonts w:asciiTheme="minorHAnsi" w:hAnsiTheme="minorHAnsi"/>
      <w:sz w:val="20"/>
      <w:szCs w:val="20"/>
    </w:rPr>
  </w:style>
  <w:style w:type="paragraph" w:styleId="TOC7">
    <w:name w:val="toc 7"/>
    <w:basedOn w:val="Normal"/>
    <w:next w:val="Normal"/>
    <w:autoRedefine/>
    <w:uiPriority w:val="39"/>
    <w:semiHidden/>
    <w:rsid w:val="004C79AA"/>
    <w:pPr>
      <w:spacing w:after="0"/>
      <w:ind w:left="1320"/>
    </w:pPr>
    <w:rPr>
      <w:rFonts w:asciiTheme="minorHAnsi" w:hAnsiTheme="minorHAnsi"/>
      <w:sz w:val="20"/>
      <w:szCs w:val="20"/>
    </w:rPr>
  </w:style>
  <w:style w:type="paragraph" w:styleId="TOC8">
    <w:name w:val="toc 8"/>
    <w:basedOn w:val="Normal"/>
    <w:next w:val="Normal"/>
    <w:autoRedefine/>
    <w:uiPriority w:val="39"/>
    <w:semiHidden/>
    <w:rsid w:val="004C79AA"/>
    <w:pPr>
      <w:spacing w:after="0"/>
      <w:ind w:left="1540"/>
    </w:pPr>
    <w:rPr>
      <w:rFonts w:asciiTheme="minorHAnsi" w:hAnsiTheme="minorHAnsi"/>
      <w:sz w:val="20"/>
      <w:szCs w:val="20"/>
    </w:rPr>
  </w:style>
  <w:style w:type="paragraph" w:styleId="TOC9">
    <w:name w:val="toc 9"/>
    <w:basedOn w:val="Normal"/>
    <w:next w:val="Normal"/>
    <w:autoRedefine/>
    <w:uiPriority w:val="39"/>
    <w:semiHidden/>
    <w:rsid w:val="004C79AA"/>
    <w:pPr>
      <w:spacing w:after="0"/>
      <w:ind w:left="1760"/>
    </w:pPr>
    <w:rPr>
      <w:rFonts w:asciiTheme="minorHAnsi" w:hAnsiTheme="minorHAnsi"/>
      <w:sz w:val="20"/>
      <w:szCs w:val="20"/>
    </w:rPr>
  </w:style>
  <w:style w:type="paragraph" w:styleId="TOCHeading">
    <w:name w:val="TOC Heading"/>
    <w:basedOn w:val="Heading1"/>
    <w:next w:val="Normal"/>
    <w:uiPriority w:val="39"/>
    <w:unhideWhenUsed/>
    <w:qFormat/>
    <w:rsid w:val="004C79AA"/>
    <w:pPr>
      <w:keepNext/>
      <w:keepLines/>
      <w:spacing w:before="480" w:after="0" w:line="276" w:lineRule="auto"/>
      <w:outlineLvl w:val="9"/>
    </w:pPr>
    <w:rPr>
      <w:rFonts w:eastAsiaTheme="majorEastAsia" w:cstheme="majorBidi"/>
      <w:b w:val="0"/>
      <w:bCs w:val="0"/>
      <w:noProof w:val="0"/>
      <w:color w:val="BA0C2F"/>
      <w:szCs w:val="28"/>
    </w:rPr>
  </w:style>
  <w:style w:type="character" w:customStyle="1" w:styleId="Bold">
    <w:name w:val="Bold"/>
    <w:uiPriority w:val="99"/>
    <w:rsid w:val="00D650C4"/>
    <w:rPr>
      <w:b/>
      <w:bCs/>
    </w:rPr>
  </w:style>
  <w:style w:type="paragraph" w:styleId="NormalWeb">
    <w:name w:val="Normal (Web)"/>
    <w:basedOn w:val="Normal"/>
    <w:uiPriority w:val="99"/>
    <w:unhideWhenUsed/>
    <w:rsid w:val="00170B71"/>
    <w:pPr>
      <w:spacing w:before="100" w:beforeAutospacing="1" w:after="100" w:afterAutospacing="1" w:line="240" w:lineRule="auto"/>
    </w:pPr>
    <w:rPr>
      <w:rFonts w:ascii="Times New Roman" w:hAnsi="Times New Roman" w:cs="Times New Roman"/>
      <w:color w:val="auto"/>
      <w:sz w:val="24"/>
      <w:szCs w:val="24"/>
    </w:rPr>
  </w:style>
  <w:style w:type="paragraph" w:styleId="ListParagraph">
    <w:name w:val="List Paragraph"/>
    <w:basedOn w:val="Normal"/>
    <w:uiPriority w:val="34"/>
    <w:qFormat/>
    <w:rsid w:val="00170B71"/>
    <w:pPr>
      <w:spacing w:after="120" w:line="264" w:lineRule="auto"/>
      <w:ind w:left="720" w:firstLine="720"/>
      <w:contextualSpacing/>
      <w:jc w:val="both"/>
    </w:pPr>
    <w:rPr>
      <w:rFonts w:ascii="Arial" w:eastAsiaTheme="minorHAnsi" w:hAnsi="Arial" w:cstheme="minorBidi"/>
      <w:color w:val="auto"/>
      <w:sz w:val="28"/>
    </w:rPr>
  </w:style>
  <w:style w:type="character" w:styleId="CommentReference">
    <w:name w:val="annotation reference"/>
    <w:basedOn w:val="DefaultParagraphFont"/>
    <w:uiPriority w:val="99"/>
    <w:semiHidden/>
    <w:unhideWhenUsed/>
    <w:rsid w:val="00170B71"/>
    <w:rPr>
      <w:sz w:val="16"/>
      <w:szCs w:val="16"/>
    </w:rPr>
  </w:style>
  <w:style w:type="paragraph" w:styleId="CommentText">
    <w:name w:val="annotation text"/>
    <w:basedOn w:val="Normal"/>
    <w:link w:val="CommentTextChar"/>
    <w:uiPriority w:val="99"/>
    <w:semiHidden/>
    <w:unhideWhenUsed/>
    <w:rsid w:val="00170B71"/>
    <w:pPr>
      <w:spacing w:after="120" w:line="240" w:lineRule="auto"/>
      <w:ind w:left="360" w:firstLine="720"/>
      <w:jc w:val="both"/>
    </w:pPr>
    <w:rPr>
      <w:rFonts w:ascii="Arial" w:eastAsiaTheme="minorHAnsi" w:hAnsi="Arial" w:cstheme="minorBidi"/>
      <w:color w:val="auto"/>
      <w:sz w:val="20"/>
      <w:szCs w:val="20"/>
    </w:rPr>
  </w:style>
  <w:style w:type="character" w:customStyle="1" w:styleId="CommentTextChar">
    <w:name w:val="Comment Text Char"/>
    <w:basedOn w:val="DefaultParagraphFont"/>
    <w:link w:val="CommentText"/>
    <w:uiPriority w:val="99"/>
    <w:semiHidden/>
    <w:rsid w:val="00170B7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0B71"/>
    <w:rPr>
      <w:b/>
      <w:bCs/>
    </w:rPr>
  </w:style>
  <w:style w:type="character" w:customStyle="1" w:styleId="CommentSubjectChar">
    <w:name w:val="Comment Subject Char"/>
    <w:basedOn w:val="CommentTextChar"/>
    <w:link w:val="CommentSubject"/>
    <w:uiPriority w:val="99"/>
    <w:semiHidden/>
    <w:rsid w:val="00170B71"/>
    <w:rPr>
      <w:rFonts w:ascii="Arial" w:hAnsi="Arial"/>
      <w:b/>
      <w:bCs/>
      <w:sz w:val="20"/>
      <w:szCs w:val="20"/>
    </w:rPr>
  </w:style>
  <w:style w:type="paragraph" w:styleId="FootnoteText">
    <w:name w:val="footnote text"/>
    <w:basedOn w:val="Normal"/>
    <w:link w:val="FootnoteTextChar"/>
    <w:uiPriority w:val="99"/>
    <w:semiHidden/>
    <w:unhideWhenUsed/>
    <w:rsid w:val="00170B71"/>
    <w:pPr>
      <w:spacing w:after="0" w:line="240" w:lineRule="auto"/>
      <w:ind w:left="360" w:firstLine="720"/>
      <w:jc w:val="both"/>
    </w:pPr>
    <w:rPr>
      <w:rFonts w:ascii="Arial" w:eastAsiaTheme="minorHAnsi" w:hAnsi="Arial" w:cstheme="minorBidi"/>
      <w:color w:val="auto"/>
      <w:sz w:val="20"/>
      <w:szCs w:val="20"/>
    </w:rPr>
  </w:style>
  <w:style w:type="character" w:customStyle="1" w:styleId="FootnoteTextChar">
    <w:name w:val="Footnote Text Char"/>
    <w:basedOn w:val="DefaultParagraphFont"/>
    <w:link w:val="FootnoteText"/>
    <w:uiPriority w:val="99"/>
    <w:semiHidden/>
    <w:rsid w:val="00170B71"/>
    <w:rPr>
      <w:rFonts w:ascii="Arial" w:hAnsi="Arial"/>
      <w:sz w:val="20"/>
      <w:szCs w:val="20"/>
    </w:rPr>
  </w:style>
  <w:style w:type="character" w:styleId="FootnoteReference">
    <w:name w:val="footnote reference"/>
    <w:basedOn w:val="DefaultParagraphFont"/>
    <w:uiPriority w:val="99"/>
    <w:semiHidden/>
    <w:unhideWhenUsed/>
    <w:rsid w:val="00170B71"/>
    <w:rPr>
      <w:vertAlign w:val="superscript"/>
    </w:rPr>
  </w:style>
  <w:style w:type="paragraph" w:styleId="Revision">
    <w:name w:val="Revision"/>
    <w:hidden/>
    <w:uiPriority w:val="99"/>
    <w:semiHidden/>
    <w:rsid w:val="00170B71"/>
    <w:pPr>
      <w:spacing w:after="0" w:line="240" w:lineRule="auto"/>
    </w:pPr>
    <w:rPr>
      <w:rFonts w:ascii="Arial" w:hAnsi="Arial"/>
      <w:sz w:val="28"/>
    </w:rPr>
  </w:style>
  <w:style w:type="paragraph" w:customStyle="1" w:styleId="ESPTitle">
    <w:name w:val="ESP Title"/>
    <w:basedOn w:val="Normal"/>
    <w:link w:val="ESPTitleChar"/>
    <w:uiPriority w:val="5"/>
    <w:qFormat/>
    <w:rsid w:val="00C077D6"/>
    <w:rPr>
      <w:color w:val="002F6C" w:themeColor="text2"/>
      <w:sz w:val="36"/>
      <w:szCs w:val="16"/>
    </w:rPr>
  </w:style>
  <w:style w:type="character" w:customStyle="1" w:styleId="ESPTitleChar">
    <w:name w:val="ESP Title Char"/>
    <w:basedOn w:val="DefaultParagraphFont"/>
    <w:link w:val="ESPTitle"/>
    <w:uiPriority w:val="5"/>
    <w:rsid w:val="00C077D6"/>
    <w:rPr>
      <w:rFonts w:ascii="Gill Sans MT" w:eastAsiaTheme="minorEastAsia" w:hAnsi="Gill Sans MT" w:cs="GillSansMTStd-Book"/>
      <w:color w:val="002F6C" w:themeColor="text2"/>
      <w:sz w:val="36"/>
      <w:szCs w:val="16"/>
    </w:rPr>
  </w:style>
  <w:style w:type="character" w:styleId="UnresolvedMention">
    <w:name w:val="Unresolved Mention"/>
    <w:basedOn w:val="DefaultParagraphFont"/>
    <w:uiPriority w:val="99"/>
    <w:semiHidden/>
    <w:unhideWhenUsed/>
    <w:rsid w:val="00166DA3"/>
    <w:rPr>
      <w:color w:val="605E5C"/>
      <w:shd w:val="clear" w:color="auto" w:fill="E1DFDD"/>
    </w:rPr>
  </w:style>
  <w:style w:type="table" w:customStyle="1" w:styleId="TableGrid1">
    <w:name w:val="Table Grid1"/>
    <w:basedOn w:val="TableNormal"/>
    <w:next w:val="TableGrid"/>
    <w:uiPriority w:val="39"/>
    <w:rsid w:val="0074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48857">
      <w:bodyDiv w:val="1"/>
      <w:marLeft w:val="0"/>
      <w:marRight w:val="0"/>
      <w:marTop w:val="0"/>
      <w:marBottom w:val="0"/>
      <w:divBdr>
        <w:top w:val="none" w:sz="0" w:space="0" w:color="auto"/>
        <w:left w:val="none" w:sz="0" w:space="0" w:color="auto"/>
        <w:bottom w:val="none" w:sz="0" w:space="0" w:color="auto"/>
        <w:right w:val="none" w:sz="0" w:space="0" w:color="auto"/>
      </w:divBdr>
    </w:div>
    <w:div w:id="950935709">
      <w:bodyDiv w:val="1"/>
      <w:marLeft w:val="0"/>
      <w:marRight w:val="0"/>
      <w:marTop w:val="0"/>
      <w:marBottom w:val="0"/>
      <w:divBdr>
        <w:top w:val="none" w:sz="0" w:space="0" w:color="auto"/>
        <w:left w:val="none" w:sz="0" w:space="0" w:color="auto"/>
        <w:bottom w:val="none" w:sz="0" w:space="0" w:color="auto"/>
        <w:right w:val="none" w:sz="0" w:space="0" w:color="auto"/>
      </w:divBdr>
    </w:div>
    <w:div w:id="1016230802">
      <w:bodyDiv w:val="1"/>
      <w:marLeft w:val="0"/>
      <w:marRight w:val="0"/>
      <w:marTop w:val="0"/>
      <w:marBottom w:val="0"/>
      <w:divBdr>
        <w:top w:val="none" w:sz="0" w:space="0" w:color="auto"/>
        <w:left w:val="none" w:sz="0" w:space="0" w:color="auto"/>
        <w:bottom w:val="none" w:sz="0" w:space="0" w:color="auto"/>
        <w:right w:val="none" w:sz="0" w:space="0" w:color="auto"/>
      </w:divBdr>
    </w:div>
    <w:div w:id="179400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SPjobs@tetratech.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usaides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usaide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etratech.com/en/markets/international-development" TargetMode="External"/><Relationship Id="rId1" Type="http://schemas.openxmlformats.org/officeDocument/2006/relationships/hyperlink" Target="https://www.usai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Custom%20Office%20Templates\ESP-Doc-Template-ENG.dotx" TargetMode="External"/></Relationships>
</file>

<file path=word/theme/theme1.xml><?xml version="1.0" encoding="utf-8"?>
<a:theme xmlns:a="http://schemas.openxmlformats.org/drawingml/2006/main" name="Office Theme">
  <a:themeElements>
    <a:clrScheme name="USAID">
      <a:dk1>
        <a:sysClr val="windowText" lastClr="000000"/>
      </a:dk1>
      <a:lt1>
        <a:srgbClr val="FFFFFF"/>
      </a:lt1>
      <a:dk2>
        <a:srgbClr val="002F6C"/>
      </a:dk2>
      <a:lt2>
        <a:srgbClr val="BA0C2F"/>
      </a:lt2>
      <a:accent1>
        <a:srgbClr val="651D32"/>
      </a:accent1>
      <a:accent2>
        <a:srgbClr val="0067B9"/>
      </a:accent2>
      <a:accent3>
        <a:srgbClr val="A7C6ED"/>
      </a:accent3>
      <a:accent4>
        <a:srgbClr val="6C6463"/>
      </a:accent4>
      <a:accent5>
        <a:srgbClr val="8C8985"/>
      </a:accent5>
      <a:accent6>
        <a:srgbClr val="CFCDC9"/>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34FC8-E4E8-4D47-BC97-D7C5C508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ESP-Doc-Template-ENG</Template>
  <TotalTime>11</TotalTime>
  <Pages>5</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Musiienko, Olena</cp:lastModifiedBy>
  <cp:revision>3</cp:revision>
  <dcterms:created xsi:type="dcterms:W3CDTF">2021-10-04T13:27:00Z</dcterms:created>
  <dcterms:modified xsi:type="dcterms:W3CDTF">2021-10-04T13:42:00Z</dcterms:modified>
</cp:coreProperties>
</file>