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740C" w14:textId="6D65F0B3" w:rsidR="008324D8" w:rsidRDefault="008324D8" w:rsidP="004075F2"/>
    <w:p w14:paraId="7ACFE388" w14:textId="1458D6D0" w:rsidR="004075F2" w:rsidRDefault="004075F2" w:rsidP="004075F2"/>
    <w:p w14:paraId="61BC0967" w14:textId="42B8CF2B" w:rsidR="004075F2" w:rsidRDefault="004075F2" w:rsidP="004075F2">
      <w:pPr>
        <w:rPr>
          <w:b/>
          <w:snapToGrid w:val="0"/>
          <w:sz w:val="28"/>
          <w:szCs w:val="28"/>
          <w:lang w:val="en-US"/>
        </w:rPr>
      </w:pPr>
      <w:r w:rsidRPr="0047782A">
        <w:rPr>
          <w:b/>
          <w:snapToGrid w:val="0"/>
          <w:sz w:val="28"/>
          <w:szCs w:val="28"/>
          <w:lang w:val="en-US"/>
        </w:rPr>
        <w:t>Selection Criteria</w:t>
      </w:r>
      <w:r w:rsidR="00444E33">
        <w:rPr>
          <w:b/>
          <w:snapToGrid w:val="0"/>
          <w:sz w:val="28"/>
          <w:szCs w:val="28"/>
          <w:lang w:val="en-US"/>
        </w:rPr>
        <w:t xml:space="preserve"> for Partner Cities </w:t>
      </w:r>
    </w:p>
    <w:p w14:paraId="6984E73E" w14:textId="34D941D7" w:rsidR="00444E33" w:rsidRPr="0047782A" w:rsidRDefault="00444E33" w:rsidP="004075F2">
      <w:pPr>
        <w:rPr>
          <w:b/>
          <w:snapToGrid w:val="0"/>
          <w:sz w:val="28"/>
          <w:szCs w:val="28"/>
          <w:lang w:val="en-US"/>
        </w:rPr>
      </w:pPr>
      <w:r>
        <w:rPr>
          <w:b/>
          <w:snapToGrid w:val="0"/>
          <w:sz w:val="28"/>
          <w:szCs w:val="28"/>
          <w:lang w:val="en-US"/>
        </w:rPr>
        <w:t xml:space="preserve">to </w:t>
      </w:r>
      <w:r w:rsidR="005E3700">
        <w:rPr>
          <w:b/>
          <w:snapToGrid w:val="0"/>
          <w:sz w:val="28"/>
          <w:szCs w:val="28"/>
          <w:lang w:val="en-US"/>
        </w:rPr>
        <w:t xml:space="preserve">receive </w:t>
      </w:r>
      <w:r>
        <w:rPr>
          <w:b/>
          <w:snapToGrid w:val="0"/>
          <w:sz w:val="28"/>
          <w:szCs w:val="28"/>
          <w:lang w:val="en-US"/>
        </w:rPr>
        <w:t xml:space="preserve">technical assistance </w:t>
      </w:r>
      <w:r w:rsidR="005E3700">
        <w:rPr>
          <w:b/>
          <w:snapToGrid w:val="0"/>
          <w:sz w:val="28"/>
          <w:szCs w:val="28"/>
          <w:lang w:val="en-US"/>
        </w:rPr>
        <w:t xml:space="preserve">for </w:t>
      </w:r>
      <w:r>
        <w:rPr>
          <w:b/>
          <w:snapToGrid w:val="0"/>
          <w:sz w:val="28"/>
          <w:szCs w:val="28"/>
          <w:lang w:val="en-US"/>
        </w:rPr>
        <w:t xml:space="preserve">municipal stakeholders </w:t>
      </w:r>
      <w:r w:rsidR="005E3700">
        <w:rPr>
          <w:b/>
          <w:snapToGrid w:val="0"/>
          <w:sz w:val="28"/>
          <w:szCs w:val="28"/>
          <w:lang w:val="en-US"/>
        </w:rPr>
        <w:t>to</w:t>
      </w:r>
      <w:r>
        <w:rPr>
          <w:b/>
          <w:snapToGrid w:val="0"/>
          <w:sz w:val="28"/>
          <w:szCs w:val="28"/>
          <w:lang w:val="en-US"/>
        </w:rPr>
        <w:t xml:space="preserve"> implement reforms aimed at optimizing and developing the heat supply infrastructure</w:t>
      </w:r>
    </w:p>
    <w:p w14:paraId="05C19F0B" w14:textId="77777777" w:rsidR="004075F2" w:rsidRPr="0047782A" w:rsidRDefault="004075F2" w:rsidP="004075F2">
      <w:pPr>
        <w:jc w:val="both"/>
        <w:rPr>
          <w:snapToGrid w:val="0"/>
          <w:sz w:val="20"/>
          <w:szCs w:val="20"/>
          <w:lang w:val="en-US"/>
        </w:rPr>
      </w:pPr>
    </w:p>
    <w:p w14:paraId="6FFF2EAD" w14:textId="73BBD735" w:rsidR="004075F2" w:rsidRPr="0047782A" w:rsidRDefault="004075F2" w:rsidP="004075F2">
      <w:pPr>
        <w:jc w:val="both"/>
        <w:rPr>
          <w:snapToGrid w:val="0"/>
          <w:lang w:val="en-US"/>
        </w:rPr>
      </w:pPr>
      <w:r w:rsidRPr="0047782A">
        <w:rPr>
          <w:snapToGrid w:val="0"/>
          <w:lang w:val="en-US"/>
        </w:rPr>
        <w:t xml:space="preserve">USAID ESP will select partner cities </w:t>
      </w:r>
      <w:r>
        <w:rPr>
          <w:snapToGrid w:val="0"/>
          <w:lang w:val="en-US"/>
        </w:rPr>
        <w:t>using a</w:t>
      </w:r>
      <w:r w:rsidRPr="0047782A">
        <w:rPr>
          <w:snapToGrid w:val="0"/>
          <w:lang w:val="en-US"/>
        </w:rPr>
        <w:t xml:space="preserve"> range of criteria based on the </w:t>
      </w:r>
      <w:r w:rsidR="005E3700">
        <w:rPr>
          <w:snapToGrid w:val="0"/>
          <w:lang w:val="en-US"/>
        </w:rPr>
        <w:t>P</w:t>
      </w:r>
      <w:r w:rsidR="005E3700" w:rsidRPr="0047782A">
        <w:rPr>
          <w:snapToGrid w:val="0"/>
          <w:lang w:val="en-US"/>
        </w:rPr>
        <w:t xml:space="preserve">roject’s </w:t>
      </w:r>
      <w:r w:rsidRPr="0047782A">
        <w:rPr>
          <w:snapToGrid w:val="0"/>
          <w:lang w:val="en-US"/>
        </w:rPr>
        <w:t xml:space="preserve">goal and </w:t>
      </w:r>
      <w:r w:rsidR="005E3700">
        <w:rPr>
          <w:snapToGrid w:val="0"/>
          <w:lang w:val="en-US"/>
        </w:rPr>
        <w:t xml:space="preserve">on </w:t>
      </w:r>
      <w:r w:rsidRPr="0047782A">
        <w:rPr>
          <w:snapToGrid w:val="0"/>
          <w:lang w:val="en-US"/>
        </w:rPr>
        <w:t xml:space="preserve">requirements and conditions to </w:t>
      </w:r>
      <w:r w:rsidR="00444E33">
        <w:rPr>
          <w:snapToGrid w:val="0"/>
          <w:lang w:val="en-US"/>
        </w:rPr>
        <w:t xml:space="preserve">ensure the Project’s </w:t>
      </w:r>
      <w:r w:rsidRPr="0047782A">
        <w:rPr>
          <w:snapToGrid w:val="0"/>
          <w:lang w:val="en-US"/>
        </w:rPr>
        <w:t>success</w:t>
      </w:r>
      <w:r w:rsidR="00444E33">
        <w:rPr>
          <w:snapToGrid w:val="0"/>
          <w:lang w:val="en-US"/>
        </w:rPr>
        <w:t xml:space="preserve"> in achieving its objectives</w:t>
      </w:r>
      <w:r w:rsidRPr="0047782A">
        <w:rPr>
          <w:snapToGrid w:val="0"/>
          <w:lang w:val="en-US"/>
        </w:rPr>
        <w:t xml:space="preserve">. </w:t>
      </w:r>
      <w:r w:rsidR="00444E33">
        <w:rPr>
          <w:snapToGrid w:val="0"/>
          <w:lang w:val="en-US"/>
        </w:rPr>
        <w:t xml:space="preserve">USAID </w:t>
      </w:r>
      <w:r w:rsidRPr="0047782A">
        <w:rPr>
          <w:snapToGrid w:val="0"/>
          <w:lang w:val="en-US"/>
        </w:rPr>
        <w:t xml:space="preserve">ESP staff and </w:t>
      </w:r>
      <w:r w:rsidR="00444E33">
        <w:rPr>
          <w:snapToGrid w:val="0"/>
          <w:lang w:val="en-US"/>
        </w:rPr>
        <w:t>p</w:t>
      </w:r>
      <w:r w:rsidRPr="0047782A">
        <w:rPr>
          <w:snapToGrid w:val="0"/>
          <w:lang w:val="en-US"/>
        </w:rPr>
        <w:t>artners</w:t>
      </w:r>
      <w:r w:rsidR="00444E33">
        <w:rPr>
          <w:snapToGrid w:val="0"/>
          <w:lang w:val="en-US"/>
        </w:rPr>
        <w:t xml:space="preserve"> involved in the selection process</w:t>
      </w:r>
      <w:r w:rsidRPr="0047782A">
        <w:rPr>
          <w:snapToGrid w:val="0"/>
          <w:lang w:val="en-US"/>
        </w:rPr>
        <w:t xml:space="preserve"> will make every effort to ensure </w:t>
      </w:r>
      <w:r w:rsidR="00444E33">
        <w:rPr>
          <w:snapToGrid w:val="0"/>
          <w:lang w:val="en-US"/>
        </w:rPr>
        <w:t xml:space="preserve">that the process is </w:t>
      </w:r>
      <w:r w:rsidR="005E3700">
        <w:rPr>
          <w:snapToGrid w:val="0"/>
          <w:lang w:val="en-US"/>
        </w:rPr>
        <w:t xml:space="preserve">as </w:t>
      </w:r>
      <w:r w:rsidR="00444E33">
        <w:rPr>
          <w:snapToGrid w:val="0"/>
          <w:lang w:val="en-US"/>
        </w:rPr>
        <w:t>transparent</w:t>
      </w:r>
      <w:r w:rsidR="005E3700">
        <w:rPr>
          <w:snapToGrid w:val="0"/>
          <w:lang w:val="en-US"/>
        </w:rPr>
        <w:t xml:space="preserve"> as possible</w:t>
      </w:r>
      <w:r w:rsidR="00DF76D7">
        <w:rPr>
          <w:snapToGrid w:val="0"/>
          <w:lang w:val="en-US"/>
        </w:rPr>
        <w:t xml:space="preserve"> and </w:t>
      </w:r>
      <w:r w:rsidR="005E3700">
        <w:rPr>
          <w:snapToGrid w:val="0"/>
          <w:lang w:val="en-US"/>
        </w:rPr>
        <w:t xml:space="preserve">that </w:t>
      </w:r>
      <w:r w:rsidR="00DF76D7">
        <w:rPr>
          <w:snapToGrid w:val="0"/>
          <w:lang w:val="en-US"/>
        </w:rPr>
        <w:t>the selection results are unbiased</w:t>
      </w:r>
      <w:r w:rsidRPr="0047782A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.</w:t>
      </w:r>
    </w:p>
    <w:p w14:paraId="2BAEA034" w14:textId="77777777" w:rsidR="004075F2" w:rsidRPr="0047782A" w:rsidRDefault="004075F2" w:rsidP="004075F2">
      <w:pPr>
        <w:jc w:val="both"/>
        <w:rPr>
          <w:snapToGrid w:val="0"/>
          <w:sz w:val="20"/>
          <w:szCs w:val="20"/>
          <w:lang w:val="en-US"/>
        </w:rPr>
      </w:pP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7200"/>
        <w:gridCol w:w="1463"/>
      </w:tblGrid>
      <w:tr w:rsidR="004075F2" w:rsidRPr="0047782A" w14:paraId="350DFF7E" w14:textId="77777777" w:rsidTr="00F57261">
        <w:trPr>
          <w:trHeight w:val="390"/>
          <w:tblHeader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544C062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995531C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Criterion/Description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0A2150B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 xml:space="preserve">Scores </w:t>
            </w:r>
          </w:p>
        </w:tc>
      </w:tr>
      <w:tr w:rsidR="004075F2" w:rsidRPr="0047782A" w14:paraId="303CD835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50F5CF6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96E418D" w14:textId="6B881FA0" w:rsidR="004075F2" w:rsidRPr="0047782A" w:rsidRDefault="004075F2" w:rsidP="00F5726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Eligibility Criteria</w:t>
            </w:r>
            <w:r w:rsidR="00DF76D7">
              <w:rPr>
                <w:b/>
                <w:sz w:val="22"/>
                <w:szCs w:val="22"/>
                <w:lang w:val="en-US"/>
              </w:rPr>
              <w:t xml:space="preserve"> (mandatory)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5D5A58C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075F2" w:rsidRPr="00C46394" w14:paraId="328C870D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293F35C2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A.1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8FE1868" w14:textId="77777777" w:rsidR="004075F2" w:rsidRPr="0047782A" w:rsidRDefault="004075F2" w:rsidP="00F57261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Connected heat load of the city &gt;1</w:t>
            </w:r>
            <w:r w:rsidRPr="0047782A">
              <w:rPr>
                <w:b/>
                <w:sz w:val="22"/>
                <w:szCs w:val="22"/>
                <w:lang w:val="en-US"/>
              </w:rPr>
              <w:t>00 Gcal/year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6FB522E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075F2" w:rsidRPr="00C46394" w14:paraId="7B8FB16E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5425DD7B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A.2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BAE96C4" w14:textId="67B51B8B" w:rsidR="004075F2" w:rsidRPr="0047782A" w:rsidRDefault="004075F2" w:rsidP="00F57261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u w:val="single"/>
                <w:lang w:val="en-US"/>
              </w:rPr>
              <w:t>One DH entity</w:t>
            </w:r>
            <w:r w:rsidRPr="00DF76D7">
              <w:rPr>
                <w:sz w:val="22"/>
                <w:szCs w:val="22"/>
                <w:lang w:val="en-US"/>
              </w:rPr>
              <w:t xml:space="preserve"> is responsible for </w:t>
            </w:r>
            <w:r w:rsidR="00DF76D7">
              <w:rPr>
                <w:sz w:val="22"/>
                <w:szCs w:val="22"/>
                <w:lang w:val="en-US"/>
              </w:rPr>
              <w:t>the operation</w:t>
            </w:r>
            <w:r w:rsidRPr="00DF76D7">
              <w:rPr>
                <w:sz w:val="22"/>
                <w:szCs w:val="22"/>
                <w:lang w:val="en-US"/>
              </w:rPr>
              <w:t xml:space="preserve"> of DH network(s) with a connected heat load at </w:t>
            </w:r>
            <w:r w:rsidRPr="0047782A">
              <w:rPr>
                <w:sz w:val="22"/>
                <w:szCs w:val="22"/>
                <w:lang w:val="en-US"/>
              </w:rPr>
              <w:t>&gt;</w:t>
            </w:r>
            <w:r w:rsidRPr="0047782A">
              <w:rPr>
                <w:b/>
                <w:sz w:val="22"/>
                <w:szCs w:val="22"/>
                <w:lang w:val="en-US"/>
              </w:rPr>
              <w:t>5</w:t>
            </w:r>
            <w:r w:rsidRPr="0047782A">
              <w:rPr>
                <w:b/>
                <w:sz w:val="22"/>
                <w:szCs w:val="22"/>
                <w:u w:val="single"/>
                <w:lang w:val="en-US"/>
              </w:rPr>
              <w:t>0%</w:t>
            </w:r>
            <w:r w:rsidRPr="0047782A">
              <w:rPr>
                <w:sz w:val="22"/>
                <w:szCs w:val="22"/>
                <w:lang w:val="en-US"/>
              </w:rPr>
              <w:t xml:space="preserve"> of the total connected heat load of the city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3DACA4D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075F2" w:rsidRPr="00C46394" w14:paraId="4CF37D13" w14:textId="77777777" w:rsidTr="00F57261">
        <w:trPr>
          <w:trHeight w:val="647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5296B169" w14:textId="083C0AA9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A.</w:t>
            </w:r>
            <w:r w:rsidR="005E370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A20EB13" w14:textId="0271B95C" w:rsidR="004075F2" w:rsidRPr="0047782A" w:rsidRDefault="00DF76D7" w:rsidP="00F57261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Approved l</w:t>
            </w:r>
            <w:r w:rsidR="004075F2" w:rsidRPr="0047782A">
              <w:rPr>
                <w:sz w:val="22"/>
                <w:szCs w:val="22"/>
                <w:lang w:val="en-US"/>
              </w:rPr>
              <w:t>ong-term or mid-term energy plan/program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="004075F2" w:rsidRPr="0047782A">
              <w:rPr>
                <w:sz w:val="22"/>
                <w:szCs w:val="22"/>
                <w:lang w:val="en-US"/>
              </w:rPr>
              <w:t xml:space="preserve">Municipal Energy Plan, Sustainable Energy Action Plan (PDSER), Sustainable Energy and Climate Action Plan (PDSERK) or similar </w:t>
            </w:r>
            <w:r>
              <w:rPr>
                <w:sz w:val="22"/>
                <w:szCs w:val="22"/>
                <w:lang w:val="en-US"/>
              </w:rPr>
              <w:t xml:space="preserve">approved </w:t>
            </w:r>
            <w:r w:rsidR="004075F2" w:rsidRPr="0047782A">
              <w:rPr>
                <w:sz w:val="22"/>
                <w:szCs w:val="22"/>
                <w:lang w:val="en-US"/>
              </w:rPr>
              <w:t>document</w:t>
            </w:r>
            <w:r w:rsidR="005E370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BE72140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075F2" w:rsidRPr="0047782A" w14:paraId="0864B247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412202A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668B211" w14:textId="77777777" w:rsidR="004075F2" w:rsidRPr="0047782A" w:rsidRDefault="004075F2" w:rsidP="00F5726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Evaluation Criteria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984029A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075F2" w:rsidRPr="0047782A" w14:paraId="4F98F074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A180997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B.1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7349763" w14:textId="77777777" w:rsidR="004075F2" w:rsidRPr="0047782A" w:rsidRDefault="004075F2" w:rsidP="00F5726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Preparedness to invest in the development of the DH systems, including from the following sources: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7A066EA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4075F2" w:rsidRPr="0047782A" w14:paraId="21988D88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94D7CFD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CC0D07F" w14:textId="1D843637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 xml:space="preserve">Public funds </w:t>
            </w:r>
            <w:r w:rsidR="00DF76D7">
              <w:rPr>
                <w:i/>
                <w:sz w:val="22"/>
                <w:szCs w:val="22"/>
                <w:lang w:val="en-US"/>
              </w:rPr>
              <w:t xml:space="preserve">(local and </w:t>
            </w:r>
            <w:r w:rsidRPr="0047782A">
              <w:rPr>
                <w:i/>
                <w:sz w:val="22"/>
                <w:szCs w:val="22"/>
                <w:lang w:val="en-US"/>
              </w:rPr>
              <w:t>state budgets</w:t>
            </w:r>
            <w:r w:rsidR="00DF76D7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C0B8921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3</w:t>
            </w:r>
          </w:p>
        </w:tc>
      </w:tr>
      <w:tr w:rsidR="004075F2" w:rsidRPr="0047782A" w14:paraId="3105B369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47A6C60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79C9424" w14:textId="48A2C6E9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 xml:space="preserve">Grants from </w:t>
            </w:r>
            <w:r w:rsidR="005E3700">
              <w:rPr>
                <w:i/>
                <w:sz w:val="22"/>
                <w:szCs w:val="22"/>
                <w:lang w:val="en-US"/>
              </w:rPr>
              <w:t xml:space="preserve">donor </w:t>
            </w:r>
            <w:r w:rsidR="00DF76D7">
              <w:rPr>
                <w:i/>
                <w:sz w:val="22"/>
                <w:szCs w:val="22"/>
                <w:lang w:val="en-US"/>
              </w:rPr>
              <w:t>organization</w:t>
            </w:r>
            <w:r w:rsidR="005E3700">
              <w:rPr>
                <w:i/>
                <w:sz w:val="22"/>
                <w:szCs w:val="22"/>
                <w:lang w:val="en-US"/>
              </w:rPr>
              <w:t>s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CEBE6E4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1</w:t>
            </w:r>
          </w:p>
        </w:tc>
      </w:tr>
      <w:tr w:rsidR="004075F2" w:rsidRPr="0047782A" w14:paraId="67537DA1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2C0A347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344B65A" w14:textId="0FA0A98B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Private sources (PPP schemes, ESCO and other</w:t>
            </w:r>
            <w:r w:rsidR="00DF76D7">
              <w:rPr>
                <w:i/>
                <w:sz w:val="22"/>
                <w:szCs w:val="22"/>
                <w:lang w:val="en-US"/>
              </w:rPr>
              <w:t xml:space="preserve"> mechanisms</w:t>
            </w:r>
            <w:r w:rsidRPr="0047782A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E14998D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2</w:t>
            </w:r>
          </w:p>
        </w:tc>
      </w:tr>
      <w:tr w:rsidR="004075F2" w:rsidRPr="0047782A" w14:paraId="45F46723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907674D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C12B854" w14:textId="77777777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Commercial loan from a bank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5367A07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1</w:t>
            </w:r>
          </w:p>
        </w:tc>
      </w:tr>
      <w:tr w:rsidR="004075F2" w:rsidRPr="0047782A" w14:paraId="17FF0B2A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C2588A6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6F82776" w14:textId="6BE90062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Long-term loans from international financial organizations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90ECDEF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3</w:t>
            </w:r>
          </w:p>
        </w:tc>
      </w:tr>
      <w:tr w:rsidR="004075F2" w:rsidRPr="0047782A" w14:paraId="21C6B8D4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2E5C0CB8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B.2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C60CD1B" w14:textId="77777777" w:rsidR="004075F2" w:rsidRPr="0047782A" w:rsidRDefault="004075F2" w:rsidP="00F5726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Energy management introduced, including: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8A94B9E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4075F2" w:rsidRPr="0047782A" w14:paraId="29081A73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5FAD5AFB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8883158" w14:textId="19521E6D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A functioning unit/department/division within the city administration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BD9AE7F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5</w:t>
            </w:r>
          </w:p>
        </w:tc>
      </w:tr>
      <w:tr w:rsidR="004075F2" w:rsidRPr="0047782A" w14:paraId="28913AFA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6EB7F3A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037C988F" w14:textId="52E07F17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Energy management introduced at the utility enterprise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DF55A2C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3</w:t>
            </w:r>
          </w:p>
        </w:tc>
      </w:tr>
      <w:tr w:rsidR="004075F2" w:rsidRPr="0047782A" w14:paraId="504067FB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6905F5C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4BA744C2" w14:textId="424D9810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Energy management with a</w:t>
            </w:r>
            <w:r w:rsidR="0057245E">
              <w:rPr>
                <w:i/>
                <w:sz w:val="22"/>
                <w:szCs w:val="22"/>
                <w:lang w:val="en-US"/>
              </w:rPr>
              <w:t xml:space="preserve"> functioning </w:t>
            </w:r>
            <w:r w:rsidRPr="0047782A">
              <w:rPr>
                <w:i/>
                <w:sz w:val="22"/>
                <w:szCs w:val="22"/>
                <w:lang w:val="en-US"/>
              </w:rPr>
              <w:t>automated monitoring system introduced at the utility enterprise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B059560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5</w:t>
            </w:r>
          </w:p>
        </w:tc>
      </w:tr>
      <w:tr w:rsidR="004075F2" w:rsidRPr="0047782A" w14:paraId="5108B3A7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51E1D56F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B.3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FC5E794" w14:textId="1181459F" w:rsidR="004075F2" w:rsidRPr="0047782A" w:rsidRDefault="004075F2" w:rsidP="00F5726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 xml:space="preserve">Previous experience of DH </w:t>
            </w:r>
            <w:r w:rsidR="0057245E">
              <w:rPr>
                <w:b/>
                <w:sz w:val="22"/>
                <w:szCs w:val="22"/>
                <w:lang w:val="en-US"/>
              </w:rPr>
              <w:t xml:space="preserve">network </w:t>
            </w:r>
            <w:r w:rsidRPr="0047782A">
              <w:rPr>
                <w:b/>
                <w:sz w:val="22"/>
                <w:szCs w:val="22"/>
                <w:lang w:val="en-US"/>
              </w:rPr>
              <w:t>modernization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651F3F4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4075F2" w:rsidRPr="0047782A" w14:paraId="7CEE16D0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55E0E99B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06EB447" w14:textId="33DE744F" w:rsidR="004075F2" w:rsidRPr="0047782A" w:rsidRDefault="0057245E" w:rsidP="00F57261">
            <w:pPr>
              <w:spacing w:before="120" w:after="120"/>
              <w:rPr>
                <w:i/>
                <w:iCs/>
                <w:sz w:val="22"/>
                <w:szCs w:val="22"/>
                <w:lang w:val="en-US"/>
              </w:rPr>
            </w:pPr>
            <w:r w:rsidRPr="0057245E">
              <w:rPr>
                <w:i/>
                <w:sz w:val="22"/>
                <w:szCs w:val="22"/>
                <w:lang w:val="en-US"/>
              </w:rPr>
              <w:t xml:space="preserve">Using </w:t>
            </w:r>
            <w:r w:rsidR="007D04EC">
              <w:rPr>
                <w:i/>
                <w:iCs/>
                <w:snapToGrid w:val="0"/>
                <w:lang w:val="en-US"/>
              </w:rPr>
              <w:t>pu</w:t>
            </w:r>
            <w:r w:rsidRPr="0047782A">
              <w:rPr>
                <w:i/>
                <w:sz w:val="22"/>
                <w:szCs w:val="22"/>
                <w:lang w:val="en-US"/>
              </w:rPr>
              <w:t xml:space="preserve">blic funds </w:t>
            </w:r>
            <w:r>
              <w:rPr>
                <w:i/>
                <w:sz w:val="22"/>
                <w:szCs w:val="22"/>
                <w:lang w:val="en-US"/>
              </w:rPr>
              <w:t xml:space="preserve">(local and </w:t>
            </w:r>
            <w:r w:rsidRPr="0047782A">
              <w:rPr>
                <w:i/>
                <w:sz w:val="22"/>
                <w:szCs w:val="22"/>
                <w:lang w:val="en-US"/>
              </w:rPr>
              <w:t>state budgets</w:t>
            </w:r>
            <w:r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206E0E3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5</w:t>
            </w:r>
          </w:p>
        </w:tc>
      </w:tr>
      <w:tr w:rsidR="004075F2" w:rsidRPr="0047782A" w14:paraId="03D19CD0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54EE2C29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02111D0" w14:textId="0A334289" w:rsidR="004075F2" w:rsidRPr="0047782A" w:rsidRDefault="007D04EC" w:rsidP="00F57261">
            <w:pPr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Using funds from </w:t>
            </w:r>
            <w:r w:rsidR="004075F2" w:rsidRPr="0047782A">
              <w:rPr>
                <w:i/>
                <w:sz w:val="22"/>
                <w:szCs w:val="22"/>
                <w:lang w:val="en-US"/>
              </w:rPr>
              <w:t>international financial organizations and public funds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FB52823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10</w:t>
            </w:r>
          </w:p>
        </w:tc>
      </w:tr>
      <w:tr w:rsidR="004075F2" w:rsidRPr="0047782A" w14:paraId="7367742D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B797FBA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lastRenderedPageBreak/>
              <w:t>B.4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F25C3D6" w14:textId="27B5C392" w:rsidR="004075F2" w:rsidRPr="0047782A" w:rsidRDefault="004075F2" w:rsidP="00F5726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 xml:space="preserve">Energy audits of the city DH systems </w:t>
            </w:r>
            <w:r w:rsidR="007D04EC">
              <w:rPr>
                <w:b/>
                <w:sz w:val="22"/>
                <w:szCs w:val="22"/>
                <w:lang w:val="en-US"/>
              </w:rPr>
              <w:t>(</w:t>
            </w:r>
            <w:r w:rsidR="005E3700">
              <w:rPr>
                <w:b/>
                <w:sz w:val="22"/>
                <w:szCs w:val="22"/>
                <w:lang w:val="en-US"/>
              </w:rPr>
              <w:t>in</w:t>
            </w:r>
            <w:r w:rsidR="005E3700" w:rsidRPr="0047782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7782A">
              <w:rPr>
                <w:b/>
                <w:sz w:val="22"/>
                <w:szCs w:val="22"/>
                <w:lang w:val="en-US"/>
              </w:rPr>
              <w:t>the last &lt;3 years</w:t>
            </w:r>
            <w:r w:rsidR="007D04EC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6D6A43D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4075F2" w:rsidRPr="0047782A" w14:paraId="7591ABD6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2E0CF24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5778E63" w14:textId="77777777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Energy screening reports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69E64E6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5</w:t>
            </w:r>
          </w:p>
        </w:tc>
      </w:tr>
      <w:tr w:rsidR="004075F2" w:rsidRPr="0047782A" w14:paraId="46F332C2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07A1A3D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174D8CC6" w14:textId="77777777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Due diligence (comprehensive) energy audit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51E5017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10</w:t>
            </w:r>
          </w:p>
        </w:tc>
      </w:tr>
      <w:tr w:rsidR="004075F2" w:rsidRPr="0047782A" w14:paraId="74E97676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AEF235A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B.5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32C1C98" w14:textId="757D8B4D" w:rsidR="004075F2" w:rsidRPr="0047782A" w:rsidRDefault="004075F2" w:rsidP="00F5726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Long</w:t>
            </w:r>
            <w:r w:rsidR="005E3700">
              <w:rPr>
                <w:b/>
                <w:sz w:val="22"/>
                <w:szCs w:val="22"/>
                <w:lang w:val="en-US"/>
              </w:rPr>
              <w:t>-</w:t>
            </w:r>
            <w:r w:rsidRPr="0047782A">
              <w:rPr>
                <w:b/>
                <w:sz w:val="22"/>
                <w:szCs w:val="22"/>
                <w:lang w:val="en-US"/>
              </w:rPr>
              <w:t>term city development plan or similar document developed and formally approved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E51D873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4075F2" w:rsidRPr="0047782A" w14:paraId="4BDDF390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B728008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B.6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2A693CA" w14:textId="6C560641" w:rsidR="004075F2" w:rsidRPr="0047782A" w:rsidRDefault="004075F2" w:rsidP="00F5726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Long</w:t>
            </w:r>
            <w:r w:rsidR="005E3700">
              <w:rPr>
                <w:b/>
                <w:sz w:val="22"/>
                <w:szCs w:val="22"/>
                <w:lang w:val="en-US"/>
              </w:rPr>
              <w:t>-</w:t>
            </w:r>
            <w:r w:rsidRPr="0047782A">
              <w:rPr>
                <w:b/>
                <w:sz w:val="22"/>
                <w:szCs w:val="22"/>
                <w:lang w:val="en-US"/>
              </w:rPr>
              <w:t>term energy efficiency program for public facilities and residential</w:t>
            </w:r>
            <w:r w:rsidR="005E3700">
              <w:rPr>
                <w:b/>
                <w:sz w:val="22"/>
                <w:szCs w:val="22"/>
                <w:lang w:val="en-US"/>
              </w:rPr>
              <w:t xml:space="preserve"> buildings</w:t>
            </w:r>
            <w:r w:rsidRPr="0047782A">
              <w:rPr>
                <w:b/>
                <w:sz w:val="22"/>
                <w:szCs w:val="22"/>
                <w:lang w:val="en-US"/>
              </w:rPr>
              <w:t xml:space="preserve"> developed and formally approved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B8080E7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4075F2" w:rsidRPr="0047782A" w14:paraId="754B856A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CD5A665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B.7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B5D2451" w14:textId="77777777" w:rsidR="004075F2" w:rsidRPr="0047782A" w:rsidRDefault="004075F2" w:rsidP="00F5726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DH scheme developed and formally approved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F471709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4075F2" w:rsidRPr="0047782A" w14:paraId="165EB469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D4A28D8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10DD1B1" w14:textId="77777777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No scheme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A324A72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10</w:t>
            </w:r>
          </w:p>
        </w:tc>
      </w:tr>
      <w:tr w:rsidR="004075F2" w:rsidRPr="0047782A" w14:paraId="72AA66C6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A3BCE13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35D9600" w14:textId="18F5DB8A" w:rsidR="004075F2" w:rsidRPr="0047782A" w:rsidRDefault="007D04EC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Available, </w:t>
            </w:r>
            <w:r w:rsidR="004075F2" w:rsidRPr="0047782A">
              <w:rPr>
                <w:i/>
                <w:sz w:val="22"/>
                <w:szCs w:val="22"/>
                <w:lang w:val="en-US"/>
              </w:rPr>
              <w:t xml:space="preserve">developed </w:t>
            </w:r>
            <w:r>
              <w:rPr>
                <w:i/>
                <w:sz w:val="22"/>
                <w:szCs w:val="22"/>
                <w:lang w:val="en-US"/>
              </w:rPr>
              <w:t>before</w:t>
            </w:r>
            <w:r w:rsidR="004075F2" w:rsidRPr="0047782A">
              <w:rPr>
                <w:i/>
                <w:sz w:val="22"/>
                <w:szCs w:val="22"/>
                <w:lang w:val="en-US"/>
              </w:rPr>
              <w:t xml:space="preserve"> 2017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8507BCD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5</w:t>
            </w:r>
          </w:p>
        </w:tc>
      </w:tr>
      <w:tr w:rsidR="004075F2" w:rsidRPr="0047782A" w14:paraId="5E4C494A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E35AB13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BF0B62B" w14:textId="68E29FA9" w:rsidR="004075F2" w:rsidRPr="0047782A" w:rsidRDefault="007D04EC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Available, developed after </w:t>
            </w:r>
            <w:r w:rsidR="004075F2" w:rsidRPr="0047782A">
              <w:rPr>
                <w:i/>
                <w:sz w:val="22"/>
                <w:szCs w:val="22"/>
                <w:lang w:val="en-US"/>
              </w:rPr>
              <w:t>2017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C89674A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0</w:t>
            </w:r>
          </w:p>
        </w:tc>
      </w:tr>
      <w:tr w:rsidR="004075F2" w:rsidRPr="0047782A" w14:paraId="22A3AAF6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2FA479B2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B.8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3DD6506" w14:textId="77777777" w:rsidR="004075F2" w:rsidRPr="0047782A" w:rsidRDefault="004075F2" w:rsidP="00F5726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Average thermal energy consumption per km</w:t>
            </w:r>
            <w:r w:rsidRPr="00D3332B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Pr="0047782A">
              <w:rPr>
                <w:b/>
                <w:sz w:val="22"/>
                <w:szCs w:val="22"/>
                <w:lang w:val="en-US"/>
              </w:rPr>
              <w:t xml:space="preserve"> (ranged)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F797C55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4075F2" w:rsidRPr="0047782A" w14:paraId="0DCD09B6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BE2705D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bookmarkStart w:id="0" w:name="_Hlk63949444"/>
            <w:r w:rsidRPr="0047782A">
              <w:rPr>
                <w:b/>
                <w:sz w:val="22"/>
                <w:szCs w:val="22"/>
                <w:lang w:val="en-US"/>
              </w:rPr>
              <w:t>B.9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8FD8730" w14:textId="3B3AD124" w:rsidR="004075F2" w:rsidRPr="0047782A" w:rsidRDefault="004075F2" w:rsidP="00F5726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lang w:val="en-US"/>
              </w:rPr>
              <w:t>Share of consumers connected to the DH system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1380963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4075F2" w:rsidRPr="0047782A" w14:paraId="6BCA653B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DFA5094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F1FFDA" w14:textId="77777777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0-50%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CF12FFB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0</w:t>
            </w:r>
          </w:p>
        </w:tc>
      </w:tr>
      <w:tr w:rsidR="004075F2" w:rsidRPr="0047782A" w14:paraId="29C0BF50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E9A795A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E4159" w14:textId="77777777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51-70%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48DAA07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5</w:t>
            </w:r>
          </w:p>
        </w:tc>
      </w:tr>
      <w:tr w:rsidR="004075F2" w:rsidRPr="0047782A" w14:paraId="13DEA39F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27821B3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B1AE5D" w14:textId="77777777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71-100%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C7AF38F" w14:textId="77777777" w:rsidR="004075F2" w:rsidRPr="0047782A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10</w:t>
            </w:r>
          </w:p>
        </w:tc>
      </w:tr>
      <w:tr w:rsidR="004075F2" w:rsidRPr="00444E33" w14:paraId="48B05878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5F37C92D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B.10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2DA8F2" w14:textId="03379FC5" w:rsidR="004075F2" w:rsidRPr="0047782A" w:rsidRDefault="004075F2" w:rsidP="00F57261">
            <w:pPr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lang w:val="en-US"/>
              </w:rPr>
              <w:t xml:space="preserve">Prospects </w:t>
            </w:r>
            <w:r w:rsidR="005E3700">
              <w:rPr>
                <w:b/>
                <w:lang w:val="en-US"/>
              </w:rPr>
              <w:t>for</w:t>
            </w:r>
            <w:r w:rsidRPr="0047782A">
              <w:rPr>
                <w:b/>
                <w:lang w:val="en-US"/>
              </w:rPr>
              <w:t xml:space="preserve"> DH development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4B757CE" w14:textId="164E481F" w:rsidR="004075F2" w:rsidRPr="00C46394" w:rsidRDefault="00C46394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4075F2" w:rsidRPr="0047782A" w14:paraId="1649118E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03EDD3E" w14:textId="77777777" w:rsidR="004075F2" w:rsidRPr="0047782A" w:rsidDel="000947CB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BA71B5" w14:textId="07F90064" w:rsidR="004075F2" w:rsidRPr="0047782A" w:rsidDel="000947CB" w:rsidRDefault="005E3700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</w:t>
            </w:r>
            <w:r w:rsidR="007D04EC">
              <w:rPr>
                <w:i/>
                <w:sz w:val="22"/>
                <w:szCs w:val="22"/>
                <w:lang w:val="en-US"/>
              </w:rPr>
              <w:t xml:space="preserve">witching to </w:t>
            </w:r>
            <w:r w:rsidR="004075F2" w:rsidRPr="0047782A">
              <w:rPr>
                <w:i/>
                <w:sz w:val="22"/>
                <w:szCs w:val="22"/>
                <w:lang w:val="en-US"/>
              </w:rPr>
              <w:t>individual solutions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9A912F4" w14:textId="77777777" w:rsidR="004075F2" w:rsidRPr="0047782A" w:rsidDel="000947CB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0</w:t>
            </w:r>
          </w:p>
        </w:tc>
      </w:tr>
      <w:tr w:rsidR="004075F2" w:rsidRPr="0047782A" w14:paraId="0CE7CF4A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C33322E" w14:textId="77777777" w:rsidR="004075F2" w:rsidRPr="0047782A" w:rsidDel="000947CB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18CE07" w14:textId="7690BC2B" w:rsidR="004075F2" w:rsidRPr="0047782A" w:rsidDel="000947CB" w:rsidRDefault="005E3700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H</w:t>
            </w:r>
            <w:r w:rsidR="004075F2" w:rsidRPr="0047782A">
              <w:rPr>
                <w:i/>
                <w:sz w:val="22"/>
                <w:szCs w:val="22"/>
                <w:lang w:val="en-US"/>
              </w:rPr>
              <w:t>ybrid system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9A4A8AE" w14:textId="77777777" w:rsidR="004075F2" w:rsidRPr="0047782A" w:rsidDel="000947CB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5</w:t>
            </w:r>
          </w:p>
        </w:tc>
      </w:tr>
      <w:tr w:rsidR="004075F2" w:rsidRPr="0047782A" w14:paraId="50C39756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34080693" w14:textId="77777777" w:rsidR="004075F2" w:rsidRPr="0047782A" w:rsidDel="000947CB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F11430" w14:textId="77777777" w:rsidR="004075F2" w:rsidRPr="0047782A" w:rsidDel="000947CB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 xml:space="preserve">DH system to be kept 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5A046A8" w14:textId="77777777" w:rsidR="004075F2" w:rsidRPr="0047782A" w:rsidDel="000947CB" w:rsidRDefault="004075F2" w:rsidP="00F57261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47782A">
              <w:rPr>
                <w:sz w:val="22"/>
                <w:szCs w:val="22"/>
                <w:lang w:val="en-US"/>
              </w:rPr>
              <w:t>10</w:t>
            </w:r>
          </w:p>
        </w:tc>
      </w:tr>
      <w:bookmarkEnd w:id="0"/>
      <w:tr w:rsidR="004075F2" w:rsidRPr="0047782A" w14:paraId="10524F5E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A91A531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B.11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07B38AB" w14:textId="77777777" w:rsidR="004075F2" w:rsidRPr="0047782A" w:rsidRDefault="004075F2" w:rsidP="00F5726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Current and projected structure of the DH system based on the city energy plan or a similar document (ranged)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239D94D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4075F2" w:rsidRPr="0047782A" w14:paraId="556D9AA7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0BB8E4F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64F3946" w14:textId="0D70C9F5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Cogeneration</w:t>
            </w:r>
            <w:r w:rsidR="007D04EC">
              <w:rPr>
                <w:i/>
                <w:sz w:val="22"/>
                <w:szCs w:val="22"/>
                <w:lang w:val="en-US"/>
              </w:rPr>
              <w:t xml:space="preserve"> share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85524B2" w14:textId="5431781F" w:rsidR="004075F2" w:rsidRPr="00C46394" w:rsidRDefault="00C46394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</w:tc>
      </w:tr>
      <w:tr w:rsidR="004075F2" w:rsidRPr="00C46394" w14:paraId="2DDB07E7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68D2D846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BBFECF0" w14:textId="5873D256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Alternative and renewable sources</w:t>
            </w:r>
            <w:r w:rsidR="007D04EC">
              <w:rPr>
                <w:i/>
                <w:sz w:val="22"/>
                <w:szCs w:val="22"/>
                <w:lang w:val="en-US"/>
              </w:rPr>
              <w:t xml:space="preserve"> share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CF1A887" w14:textId="08DA1335" w:rsidR="004075F2" w:rsidRPr="00C46394" w:rsidRDefault="00C46394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4</w:t>
            </w:r>
          </w:p>
        </w:tc>
      </w:tr>
      <w:tr w:rsidR="004075F2" w:rsidRPr="0047782A" w14:paraId="362A41E3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6CAFFFC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74CB42EE" w14:textId="54C0A6D6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Gas boiler houses</w:t>
            </w:r>
            <w:r w:rsidR="007D04EC">
              <w:rPr>
                <w:i/>
                <w:sz w:val="22"/>
                <w:szCs w:val="22"/>
                <w:lang w:val="en-US"/>
              </w:rPr>
              <w:t xml:space="preserve"> share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4D3A33E" w14:textId="311F98D8" w:rsidR="004075F2" w:rsidRPr="00C46394" w:rsidRDefault="00C46394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0</w:t>
            </w:r>
          </w:p>
        </w:tc>
      </w:tr>
      <w:tr w:rsidR="004075F2" w:rsidRPr="0047782A" w14:paraId="682D472A" w14:textId="77777777" w:rsidTr="00F57261">
        <w:trPr>
          <w:trHeight w:val="3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E2E7C6E" w14:textId="77777777" w:rsidR="004075F2" w:rsidRPr="0047782A" w:rsidRDefault="004075F2" w:rsidP="00F57261">
            <w:pPr>
              <w:spacing w:before="120" w:after="120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28684F12" w14:textId="77777777" w:rsidR="004075F2" w:rsidRPr="0047782A" w:rsidRDefault="004075F2" w:rsidP="00F57261">
            <w:pPr>
              <w:spacing w:before="120" w:after="120"/>
              <w:rPr>
                <w:i/>
                <w:sz w:val="22"/>
                <w:szCs w:val="22"/>
                <w:lang w:val="en-US"/>
              </w:rPr>
            </w:pPr>
            <w:r w:rsidRPr="0047782A">
              <w:rPr>
                <w:i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4AE277A" w14:textId="24375FFA" w:rsidR="004075F2" w:rsidRPr="00C46394" w:rsidRDefault="00C46394" w:rsidP="00F57261">
            <w:pPr>
              <w:spacing w:before="120" w:after="120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C46394">
              <w:rPr>
                <w:bCs/>
                <w:i/>
                <w:iCs/>
                <w:sz w:val="22"/>
                <w:szCs w:val="22"/>
                <w:lang w:val="uk-UA"/>
              </w:rPr>
              <w:t>3</w:t>
            </w:r>
          </w:p>
        </w:tc>
      </w:tr>
      <w:tr w:rsidR="004075F2" w:rsidRPr="0047782A" w14:paraId="4049B52E" w14:textId="77777777" w:rsidTr="00F57261">
        <w:trPr>
          <w:trHeight w:val="390"/>
          <w:jc w:val="center"/>
        </w:trPr>
        <w:tc>
          <w:tcPr>
            <w:tcW w:w="8185" w:type="dxa"/>
            <w:gridSpan w:val="2"/>
            <w:shd w:val="clear" w:color="auto" w:fill="auto"/>
            <w:vAlign w:val="center"/>
          </w:tcPr>
          <w:p w14:paraId="2C0FF9EA" w14:textId="77777777" w:rsidR="004075F2" w:rsidRPr="0047782A" w:rsidRDefault="004075F2" w:rsidP="00F572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Maximum score (total)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BF34FCF" w14:textId="77777777" w:rsidR="004075F2" w:rsidRPr="0047782A" w:rsidRDefault="004075F2" w:rsidP="00F57261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47782A">
              <w:rPr>
                <w:b/>
                <w:sz w:val="22"/>
                <w:szCs w:val="22"/>
                <w:lang w:val="en-US"/>
              </w:rPr>
              <w:t>110</w:t>
            </w:r>
          </w:p>
        </w:tc>
      </w:tr>
    </w:tbl>
    <w:p w14:paraId="2F35AD86" w14:textId="76C20B29" w:rsidR="004075F2" w:rsidRPr="004075F2" w:rsidRDefault="004075F2" w:rsidP="004075F2">
      <w:pPr>
        <w:rPr>
          <w:snapToGrid w:val="0"/>
          <w:lang w:val="en-US"/>
        </w:rPr>
      </w:pPr>
    </w:p>
    <w:sectPr w:rsidR="004075F2" w:rsidRPr="004075F2" w:rsidSect="00B94F65">
      <w:headerReference w:type="first" r:id="rId8"/>
      <w:pgSz w:w="11906" w:h="16838"/>
      <w:pgMar w:top="1086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7A7D" w14:textId="77777777" w:rsidR="005D6ABD" w:rsidRDefault="005D6ABD">
      <w:r>
        <w:separator/>
      </w:r>
    </w:p>
  </w:endnote>
  <w:endnote w:type="continuationSeparator" w:id="0">
    <w:p w14:paraId="784B4026" w14:textId="77777777" w:rsidR="005D6ABD" w:rsidRDefault="005D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8C745" w14:textId="77777777" w:rsidR="005D6ABD" w:rsidRDefault="005D6ABD">
      <w:r>
        <w:separator/>
      </w:r>
    </w:p>
  </w:footnote>
  <w:footnote w:type="continuationSeparator" w:id="0">
    <w:p w14:paraId="539CB5D6" w14:textId="77777777" w:rsidR="005D6ABD" w:rsidRDefault="005D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5418" w14:textId="03FD2160" w:rsidR="008443FB" w:rsidRPr="00B94F65" w:rsidRDefault="004075F2" w:rsidP="00B94F65">
    <w:pPr>
      <w:pStyle w:val="a7"/>
    </w:pPr>
    <w:r>
      <w:rPr>
        <w:noProof/>
      </w:rPr>
      <w:drawing>
        <wp:inline distT="0" distB="0" distL="0" distR="0" wp14:anchorId="20F60005" wp14:editId="186B96BC">
          <wp:extent cx="2286000" cy="685800"/>
          <wp:effectExtent l="0" t="0" r="0" b="0"/>
          <wp:docPr id="3" name="Рисунок 3" descr="Изображение выглядит как текст, зна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знак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FA7"/>
    <w:multiLevelType w:val="hybridMultilevel"/>
    <w:tmpl w:val="6CAC60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7075451"/>
    <w:multiLevelType w:val="hybridMultilevel"/>
    <w:tmpl w:val="CB7A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2429"/>
    <w:multiLevelType w:val="hybridMultilevel"/>
    <w:tmpl w:val="FC98D572"/>
    <w:lvl w:ilvl="0" w:tplc="5E02F080">
      <w:numFmt w:val="bullet"/>
      <w:lvlText w:val="-"/>
      <w:lvlJc w:val="left"/>
      <w:pPr>
        <w:ind w:left="107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AA62A0A"/>
    <w:multiLevelType w:val="hybridMultilevel"/>
    <w:tmpl w:val="67C68D9C"/>
    <w:lvl w:ilvl="0" w:tplc="45600B06">
      <w:start w:val="1"/>
      <w:numFmt w:val="low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84033"/>
    <w:multiLevelType w:val="hybridMultilevel"/>
    <w:tmpl w:val="53288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77D07"/>
    <w:multiLevelType w:val="hybridMultilevel"/>
    <w:tmpl w:val="A156D6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1EF2080"/>
    <w:multiLevelType w:val="hybridMultilevel"/>
    <w:tmpl w:val="02E2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13DE"/>
    <w:multiLevelType w:val="hybridMultilevel"/>
    <w:tmpl w:val="626A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6797A"/>
    <w:multiLevelType w:val="hybridMultilevel"/>
    <w:tmpl w:val="1FC8B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96035"/>
    <w:multiLevelType w:val="hybridMultilevel"/>
    <w:tmpl w:val="DFD47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77519E"/>
    <w:multiLevelType w:val="hybridMultilevel"/>
    <w:tmpl w:val="B4522E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8F1084E"/>
    <w:multiLevelType w:val="hybridMultilevel"/>
    <w:tmpl w:val="A3AA2C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979B4"/>
    <w:multiLevelType w:val="hybridMultilevel"/>
    <w:tmpl w:val="6428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F0124"/>
    <w:multiLevelType w:val="hybridMultilevel"/>
    <w:tmpl w:val="DAC0B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744522"/>
    <w:multiLevelType w:val="multilevel"/>
    <w:tmpl w:val="7B1AF03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43A7F56"/>
    <w:multiLevelType w:val="hybridMultilevel"/>
    <w:tmpl w:val="9DF6730E"/>
    <w:lvl w:ilvl="0" w:tplc="66B0F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A3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06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8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4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E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A3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10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2F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4B226F"/>
    <w:multiLevelType w:val="multilevel"/>
    <w:tmpl w:val="615218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D096147"/>
    <w:multiLevelType w:val="hybridMultilevel"/>
    <w:tmpl w:val="714028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30212B6"/>
    <w:multiLevelType w:val="hybridMultilevel"/>
    <w:tmpl w:val="093EF86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32F627F"/>
    <w:multiLevelType w:val="hybridMultilevel"/>
    <w:tmpl w:val="B10C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E164B"/>
    <w:multiLevelType w:val="multilevel"/>
    <w:tmpl w:val="DA28B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50377EE"/>
    <w:multiLevelType w:val="multilevel"/>
    <w:tmpl w:val="6172B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BF261C"/>
    <w:multiLevelType w:val="hybridMultilevel"/>
    <w:tmpl w:val="1748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25E2D"/>
    <w:multiLevelType w:val="hybridMultilevel"/>
    <w:tmpl w:val="3786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B04DC"/>
    <w:multiLevelType w:val="hybridMultilevel"/>
    <w:tmpl w:val="1836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7A54"/>
    <w:multiLevelType w:val="multilevel"/>
    <w:tmpl w:val="55F2B2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6909D9"/>
    <w:multiLevelType w:val="multilevel"/>
    <w:tmpl w:val="F736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2217"/>
    <w:multiLevelType w:val="multilevel"/>
    <w:tmpl w:val="F104D0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9C0052"/>
    <w:multiLevelType w:val="multilevel"/>
    <w:tmpl w:val="8CBEDF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sz w:val="20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1440"/>
      </w:pPr>
      <w:rPr>
        <w:rFonts w:ascii="Times New Roman" w:hAnsi="Times New Roman" w:hint="default"/>
        <w:sz w:val="20"/>
      </w:rPr>
    </w:lvl>
  </w:abstractNum>
  <w:abstractNum w:abstractNumId="29" w15:restartNumberingAfterBreak="0">
    <w:nsid w:val="3FD45D94"/>
    <w:multiLevelType w:val="hybridMultilevel"/>
    <w:tmpl w:val="93F4A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1093D7B"/>
    <w:multiLevelType w:val="hybridMultilevel"/>
    <w:tmpl w:val="4EB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4789C"/>
    <w:multiLevelType w:val="multilevel"/>
    <w:tmpl w:val="B298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66377CF"/>
    <w:multiLevelType w:val="hybridMultilevel"/>
    <w:tmpl w:val="021E7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778C0"/>
    <w:multiLevelType w:val="multilevel"/>
    <w:tmpl w:val="474465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4CDE2A96"/>
    <w:multiLevelType w:val="hybridMultilevel"/>
    <w:tmpl w:val="FFD2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F03DB"/>
    <w:multiLevelType w:val="hybridMultilevel"/>
    <w:tmpl w:val="1D78DB60"/>
    <w:lvl w:ilvl="0" w:tplc="A9E41A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D3B22"/>
    <w:multiLevelType w:val="multilevel"/>
    <w:tmpl w:val="7B1AF03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543664BC"/>
    <w:multiLevelType w:val="multilevel"/>
    <w:tmpl w:val="ACB29B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C076A9"/>
    <w:multiLevelType w:val="hybridMultilevel"/>
    <w:tmpl w:val="0CD4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80C9F"/>
    <w:multiLevelType w:val="hybridMultilevel"/>
    <w:tmpl w:val="751C5132"/>
    <w:lvl w:ilvl="0" w:tplc="9F420D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663A37"/>
    <w:multiLevelType w:val="hybridMultilevel"/>
    <w:tmpl w:val="0966F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46389C"/>
    <w:multiLevelType w:val="multilevel"/>
    <w:tmpl w:val="E572E1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BF21488"/>
    <w:multiLevelType w:val="hybridMultilevel"/>
    <w:tmpl w:val="626A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B7113"/>
    <w:multiLevelType w:val="multilevel"/>
    <w:tmpl w:val="78109B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3C1203E"/>
    <w:multiLevelType w:val="hybridMultilevel"/>
    <w:tmpl w:val="45BCD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9F7773"/>
    <w:multiLevelType w:val="multilevel"/>
    <w:tmpl w:val="AA64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07C1BB5"/>
    <w:multiLevelType w:val="multilevel"/>
    <w:tmpl w:val="6D8C35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sz w:val="20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50"/>
      </w:pPr>
      <w:rPr>
        <w:rFonts w:ascii="Times New Roman" w:hAnsi="Times New Roman" w:hint="default"/>
        <w:b/>
        <w:sz w:val="20"/>
      </w:rPr>
    </w:lvl>
    <w:lvl w:ilvl="2">
      <w:start w:val="6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ascii="Times New Roman" w:hAnsi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ascii="Times New Roman" w:hAnsi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ascii="Times New Roman" w:hAnsi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ascii="Times New Roman" w:hAnsi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080"/>
      </w:pPr>
      <w:rPr>
        <w:rFonts w:ascii="Times New Roman" w:hAnsi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  <w:rPr>
        <w:rFonts w:ascii="Times New Roman" w:hAnsi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1440"/>
      </w:pPr>
      <w:rPr>
        <w:rFonts w:ascii="Times New Roman" w:hAnsi="Times New Roman" w:hint="default"/>
        <w:b/>
        <w:sz w:val="20"/>
      </w:rPr>
    </w:lvl>
  </w:abstractNum>
  <w:abstractNum w:abstractNumId="47" w15:restartNumberingAfterBreak="0">
    <w:nsid w:val="7294663C"/>
    <w:multiLevelType w:val="hybridMultilevel"/>
    <w:tmpl w:val="1730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63CBA"/>
    <w:multiLevelType w:val="multilevel"/>
    <w:tmpl w:val="FCBEC1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46"/>
  </w:num>
  <w:num w:numId="4">
    <w:abstractNumId w:val="2"/>
  </w:num>
  <w:num w:numId="5">
    <w:abstractNumId w:val="32"/>
  </w:num>
  <w:num w:numId="6">
    <w:abstractNumId w:val="28"/>
  </w:num>
  <w:num w:numId="7">
    <w:abstractNumId w:val="16"/>
  </w:num>
  <w:num w:numId="8">
    <w:abstractNumId w:val="34"/>
  </w:num>
  <w:num w:numId="9">
    <w:abstractNumId w:val="8"/>
  </w:num>
  <w:num w:numId="10">
    <w:abstractNumId w:val="0"/>
  </w:num>
  <w:num w:numId="11">
    <w:abstractNumId w:val="33"/>
  </w:num>
  <w:num w:numId="12">
    <w:abstractNumId w:val="17"/>
  </w:num>
  <w:num w:numId="13">
    <w:abstractNumId w:val="29"/>
  </w:num>
  <w:num w:numId="14">
    <w:abstractNumId w:val="5"/>
  </w:num>
  <w:num w:numId="15">
    <w:abstractNumId w:val="44"/>
  </w:num>
  <w:num w:numId="16">
    <w:abstractNumId w:val="40"/>
  </w:num>
  <w:num w:numId="17">
    <w:abstractNumId w:val="31"/>
  </w:num>
  <w:num w:numId="18">
    <w:abstractNumId w:val="21"/>
  </w:num>
  <w:num w:numId="19">
    <w:abstractNumId w:val="14"/>
  </w:num>
  <w:num w:numId="20">
    <w:abstractNumId w:val="1"/>
  </w:num>
  <w:num w:numId="21">
    <w:abstractNumId w:val="36"/>
  </w:num>
  <w:num w:numId="22">
    <w:abstractNumId w:val="45"/>
  </w:num>
  <w:num w:numId="23">
    <w:abstractNumId w:val="15"/>
  </w:num>
  <w:num w:numId="24">
    <w:abstractNumId w:val="22"/>
  </w:num>
  <w:num w:numId="25">
    <w:abstractNumId w:val="42"/>
  </w:num>
  <w:num w:numId="26">
    <w:abstractNumId w:val="20"/>
  </w:num>
  <w:num w:numId="27">
    <w:abstractNumId w:val="39"/>
  </w:num>
  <w:num w:numId="28">
    <w:abstractNumId w:val="30"/>
  </w:num>
  <w:num w:numId="29">
    <w:abstractNumId w:val="13"/>
  </w:num>
  <w:num w:numId="30">
    <w:abstractNumId w:val="3"/>
  </w:num>
  <w:num w:numId="31">
    <w:abstractNumId w:val="23"/>
  </w:num>
  <w:num w:numId="32">
    <w:abstractNumId w:val="38"/>
  </w:num>
  <w:num w:numId="33">
    <w:abstractNumId w:val="47"/>
  </w:num>
  <w:num w:numId="34">
    <w:abstractNumId w:val="24"/>
  </w:num>
  <w:num w:numId="35">
    <w:abstractNumId w:val="27"/>
  </w:num>
  <w:num w:numId="36">
    <w:abstractNumId w:val="41"/>
  </w:num>
  <w:num w:numId="37">
    <w:abstractNumId w:val="43"/>
  </w:num>
  <w:num w:numId="38">
    <w:abstractNumId w:val="37"/>
  </w:num>
  <w:num w:numId="39">
    <w:abstractNumId w:val="7"/>
  </w:num>
  <w:num w:numId="40">
    <w:abstractNumId w:val="25"/>
  </w:num>
  <w:num w:numId="41">
    <w:abstractNumId w:val="4"/>
  </w:num>
  <w:num w:numId="42">
    <w:abstractNumId w:val="26"/>
  </w:num>
  <w:num w:numId="43">
    <w:abstractNumId w:val="11"/>
  </w:num>
  <w:num w:numId="44">
    <w:abstractNumId w:val="48"/>
  </w:num>
  <w:num w:numId="45">
    <w:abstractNumId w:val="12"/>
  </w:num>
  <w:num w:numId="46">
    <w:abstractNumId w:val="6"/>
  </w:num>
  <w:num w:numId="47">
    <w:abstractNumId w:val="35"/>
  </w:num>
  <w:num w:numId="48">
    <w:abstractNumId w:val="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MDQxNTI1NTQzNLRQ0lEKTi0uzszPAykwrAUAhCdoISwAAAA="/>
  </w:docVars>
  <w:rsids>
    <w:rsidRoot w:val="009A5D06"/>
    <w:rsid w:val="00002834"/>
    <w:rsid w:val="0000698A"/>
    <w:rsid w:val="000106B6"/>
    <w:rsid w:val="00011DF8"/>
    <w:rsid w:val="00021A7A"/>
    <w:rsid w:val="000304FD"/>
    <w:rsid w:val="00036ECA"/>
    <w:rsid w:val="00040383"/>
    <w:rsid w:val="000460AD"/>
    <w:rsid w:val="000468C0"/>
    <w:rsid w:val="00052D7F"/>
    <w:rsid w:val="0006686C"/>
    <w:rsid w:val="000724CD"/>
    <w:rsid w:val="000819C9"/>
    <w:rsid w:val="00091927"/>
    <w:rsid w:val="00091DCF"/>
    <w:rsid w:val="000947CB"/>
    <w:rsid w:val="000C7808"/>
    <w:rsid w:val="000D0AFC"/>
    <w:rsid w:val="000D13D5"/>
    <w:rsid w:val="000D1783"/>
    <w:rsid w:val="000E0DC5"/>
    <w:rsid w:val="000E374C"/>
    <w:rsid w:val="000E51BD"/>
    <w:rsid w:val="00113ACC"/>
    <w:rsid w:val="001165B7"/>
    <w:rsid w:val="00116B74"/>
    <w:rsid w:val="00116C9E"/>
    <w:rsid w:val="00121710"/>
    <w:rsid w:val="00125656"/>
    <w:rsid w:val="0012567B"/>
    <w:rsid w:val="00125947"/>
    <w:rsid w:val="0013274F"/>
    <w:rsid w:val="001356C1"/>
    <w:rsid w:val="001369FD"/>
    <w:rsid w:val="00144B3E"/>
    <w:rsid w:val="0015240A"/>
    <w:rsid w:val="001554B3"/>
    <w:rsid w:val="001619D5"/>
    <w:rsid w:val="00164039"/>
    <w:rsid w:val="00167D1D"/>
    <w:rsid w:val="00171ED0"/>
    <w:rsid w:val="001721A8"/>
    <w:rsid w:val="00172C18"/>
    <w:rsid w:val="0018185D"/>
    <w:rsid w:val="00186E7E"/>
    <w:rsid w:val="001A143A"/>
    <w:rsid w:val="001A1687"/>
    <w:rsid w:val="001A1EF0"/>
    <w:rsid w:val="001A5155"/>
    <w:rsid w:val="001B228D"/>
    <w:rsid w:val="001B59FF"/>
    <w:rsid w:val="001B646F"/>
    <w:rsid w:val="001B6FD0"/>
    <w:rsid w:val="001C0CD6"/>
    <w:rsid w:val="001C35E8"/>
    <w:rsid w:val="001D23D1"/>
    <w:rsid w:val="001D4AC8"/>
    <w:rsid w:val="001D52A6"/>
    <w:rsid w:val="001E57C5"/>
    <w:rsid w:val="001E5C8F"/>
    <w:rsid w:val="00200441"/>
    <w:rsid w:val="00205390"/>
    <w:rsid w:val="002054CE"/>
    <w:rsid w:val="002131AB"/>
    <w:rsid w:val="00216A97"/>
    <w:rsid w:val="0022094D"/>
    <w:rsid w:val="002270F3"/>
    <w:rsid w:val="00247928"/>
    <w:rsid w:val="00252913"/>
    <w:rsid w:val="002564FF"/>
    <w:rsid w:val="00256BA7"/>
    <w:rsid w:val="002645F7"/>
    <w:rsid w:val="00267E25"/>
    <w:rsid w:val="0027696F"/>
    <w:rsid w:val="00280611"/>
    <w:rsid w:val="002869D8"/>
    <w:rsid w:val="002877D8"/>
    <w:rsid w:val="00292C66"/>
    <w:rsid w:val="002967C2"/>
    <w:rsid w:val="002A1AFC"/>
    <w:rsid w:val="002A2A12"/>
    <w:rsid w:val="002A3F9B"/>
    <w:rsid w:val="002A4E1E"/>
    <w:rsid w:val="002B18F0"/>
    <w:rsid w:val="002B2928"/>
    <w:rsid w:val="002B4FEA"/>
    <w:rsid w:val="002D28C6"/>
    <w:rsid w:val="002D6A07"/>
    <w:rsid w:val="002E1F6F"/>
    <w:rsid w:val="002E5F3D"/>
    <w:rsid w:val="002F1C1A"/>
    <w:rsid w:val="003002E8"/>
    <w:rsid w:val="00301E96"/>
    <w:rsid w:val="00304124"/>
    <w:rsid w:val="00313557"/>
    <w:rsid w:val="00316676"/>
    <w:rsid w:val="00316B9B"/>
    <w:rsid w:val="00317637"/>
    <w:rsid w:val="00331CD1"/>
    <w:rsid w:val="003405A6"/>
    <w:rsid w:val="003533FA"/>
    <w:rsid w:val="00362A2C"/>
    <w:rsid w:val="00377DB6"/>
    <w:rsid w:val="00377E83"/>
    <w:rsid w:val="00381A21"/>
    <w:rsid w:val="00386154"/>
    <w:rsid w:val="00390F2E"/>
    <w:rsid w:val="00393884"/>
    <w:rsid w:val="003A3617"/>
    <w:rsid w:val="003A7482"/>
    <w:rsid w:val="003A75A9"/>
    <w:rsid w:val="003B2BC8"/>
    <w:rsid w:val="003B309F"/>
    <w:rsid w:val="003B6893"/>
    <w:rsid w:val="003D3C27"/>
    <w:rsid w:val="003E1151"/>
    <w:rsid w:val="003E4D1F"/>
    <w:rsid w:val="003E5AC9"/>
    <w:rsid w:val="00406D25"/>
    <w:rsid w:val="004075F2"/>
    <w:rsid w:val="004110AE"/>
    <w:rsid w:val="00432707"/>
    <w:rsid w:val="00442B4E"/>
    <w:rsid w:val="00444E33"/>
    <w:rsid w:val="00470837"/>
    <w:rsid w:val="00475483"/>
    <w:rsid w:val="00485558"/>
    <w:rsid w:val="00487B15"/>
    <w:rsid w:val="004A0042"/>
    <w:rsid w:val="004A1671"/>
    <w:rsid w:val="004A2998"/>
    <w:rsid w:val="004A29A8"/>
    <w:rsid w:val="004B09CB"/>
    <w:rsid w:val="004B5440"/>
    <w:rsid w:val="004B7247"/>
    <w:rsid w:val="004C6C26"/>
    <w:rsid w:val="004D023F"/>
    <w:rsid w:val="004D09D3"/>
    <w:rsid w:val="004E1F60"/>
    <w:rsid w:val="004E6C74"/>
    <w:rsid w:val="005009BB"/>
    <w:rsid w:val="0050232F"/>
    <w:rsid w:val="00510E0B"/>
    <w:rsid w:val="005162D2"/>
    <w:rsid w:val="005176C8"/>
    <w:rsid w:val="005273D9"/>
    <w:rsid w:val="005308FB"/>
    <w:rsid w:val="00542934"/>
    <w:rsid w:val="00543D35"/>
    <w:rsid w:val="00556CDA"/>
    <w:rsid w:val="00561010"/>
    <w:rsid w:val="005663E9"/>
    <w:rsid w:val="0057079F"/>
    <w:rsid w:val="00571956"/>
    <w:rsid w:val="00571D61"/>
    <w:rsid w:val="0057245E"/>
    <w:rsid w:val="00582DA5"/>
    <w:rsid w:val="00595C8A"/>
    <w:rsid w:val="00595ECB"/>
    <w:rsid w:val="005A0FC9"/>
    <w:rsid w:val="005A779C"/>
    <w:rsid w:val="005B1071"/>
    <w:rsid w:val="005B2E88"/>
    <w:rsid w:val="005D07C7"/>
    <w:rsid w:val="005D6ABD"/>
    <w:rsid w:val="005E05E7"/>
    <w:rsid w:val="005E3700"/>
    <w:rsid w:val="005F325E"/>
    <w:rsid w:val="005F49CD"/>
    <w:rsid w:val="00606DE0"/>
    <w:rsid w:val="006078DB"/>
    <w:rsid w:val="0061009E"/>
    <w:rsid w:val="00612009"/>
    <w:rsid w:val="00612273"/>
    <w:rsid w:val="00617E54"/>
    <w:rsid w:val="00620ED8"/>
    <w:rsid w:val="006233A6"/>
    <w:rsid w:val="00624B32"/>
    <w:rsid w:val="006352B6"/>
    <w:rsid w:val="00637C91"/>
    <w:rsid w:val="00641A3C"/>
    <w:rsid w:val="00643A34"/>
    <w:rsid w:val="00646301"/>
    <w:rsid w:val="006475FE"/>
    <w:rsid w:val="00647DF1"/>
    <w:rsid w:val="0065078A"/>
    <w:rsid w:val="00656039"/>
    <w:rsid w:val="00663C0F"/>
    <w:rsid w:val="00664F0A"/>
    <w:rsid w:val="00666943"/>
    <w:rsid w:val="006741F8"/>
    <w:rsid w:val="00680004"/>
    <w:rsid w:val="00686CB1"/>
    <w:rsid w:val="00695098"/>
    <w:rsid w:val="006A09EE"/>
    <w:rsid w:val="006C11DC"/>
    <w:rsid w:val="006C1607"/>
    <w:rsid w:val="006C6FEE"/>
    <w:rsid w:val="006D3321"/>
    <w:rsid w:val="006D6165"/>
    <w:rsid w:val="006E0530"/>
    <w:rsid w:val="006E4A20"/>
    <w:rsid w:val="006E77B1"/>
    <w:rsid w:val="006F4DE2"/>
    <w:rsid w:val="006F7D9F"/>
    <w:rsid w:val="0070124D"/>
    <w:rsid w:val="00701CC9"/>
    <w:rsid w:val="007146F0"/>
    <w:rsid w:val="007233E5"/>
    <w:rsid w:val="00726A7C"/>
    <w:rsid w:val="00733EEA"/>
    <w:rsid w:val="00736EDD"/>
    <w:rsid w:val="00742DE0"/>
    <w:rsid w:val="00753D50"/>
    <w:rsid w:val="00754EB5"/>
    <w:rsid w:val="00760A63"/>
    <w:rsid w:val="00760B5F"/>
    <w:rsid w:val="00761441"/>
    <w:rsid w:val="00764973"/>
    <w:rsid w:val="007654E6"/>
    <w:rsid w:val="00777A2C"/>
    <w:rsid w:val="0078076E"/>
    <w:rsid w:val="0078314B"/>
    <w:rsid w:val="0078606E"/>
    <w:rsid w:val="00786EFB"/>
    <w:rsid w:val="00792E34"/>
    <w:rsid w:val="007955AE"/>
    <w:rsid w:val="00796B6B"/>
    <w:rsid w:val="007A194E"/>
    <w:rsid w:val="007A6117"/>
    <w:rsid w:val="007B33E1"/>
    <w:rsid w:val="007B4E93"/>
    <w:rsid w:val="007C192F"/>
    <w:rsid w:val="007D04EC"/>
    <w:rsid w:val="007D3190"/>
    <w:rsid w:val="007E0290"/>
    <w:rsid w:val="007E0FC6"/>
    <w:rsid w:val="007E58D3"/>
    <w:rsid w:val="007F352B"/>
    <w:rsid w:val="007F652C"/>
    <w:rsid w:val="008050B5"/>
    <w:rsid w:val="00817241"/>
    <w:rsid w:val="00826DF4"/>
    <w:rsid w:val="00831C5C"/>
    <w:rsid w:val="008324D8"/>
    <w:rsid w:val="008443FB"/>
    <w:rsid w:val="00844A00"/>
    <w:rsid w:val="0085054B"/>
    <w:rsid w:val="00855821"/>
    <w:rsid w:val="00856F9F"/>
    <w:rsid w:val="00860A51"/>
    <w:rsid w:val="00867955"/>
    <w:rsid w:val="00867C3B"/>
    <w:rsid w:val="00872B67"/>
    <w:rsid w:val="00876540"/>
    <w:rsid w:val="00886045"/>
    <w:rsid w:val="00891213"/>
    <w:rsid w:val="00893A61"/>
    <w:rsid w:val="008A38B2"/>
    <w:rsid w:val="008A6B8B"/>
    <w:rsid w:val="008B1FB5"/>
    <w:rsid w:val="008B2C5C"/>
    <w:rsid w:val="008B36D7"/>
    <w:rsid w:val="008D16DD"/>
    <w:rsid w:val="008D44E1"/>
    <w:rsid w:val="008D7208"/>
    <w:rsid w:val="008D7579"/>
    <w:rsid w:val="008D7DD9"/>
    <w:rsid w:val="009008AF"/>
    <w:rsid w:val="00913BEA"/>
    <w:rsid w:val="00914FAE"/>
    <w:rsid w:val="00920E60"/>
    <w:rsid w:val="00925318"/>
    <w:rsid w:val="009260F6"/>
    <w:rsid w:val="009305ED"/>
    <w:rsid w:val="00931134"/>
    <w:rsid w:val="00935E0C"/>
    <w:rsid w:val="0094026B"/>
    <w:rsid w:val="00941844"/>
    <w:rsid w:val="00944341"/>
    <w:rsid w:val="009570FC"/>
    <w:rsid w:val="00976C07"/>
    <w:rsid w:val="00976DF8"/>
    <w:rsid w:val="009807E7"/>
    <w:rsid w:val="00981A3F"/>
    <w:rsid w:val="00982F87"/>
    <w:rsid w:val="00983516"/>
    <w:rsid w:val="00987496"/>
    <w:rsid w:val="00995046"/>
    <w:rsid w:val="009A206F"/>
    <w:rsid w:val="009A5D06"/>
    <w:rsid w:val="009B0C8B"/>
    <w:rsid w:val="009B1FE1"/>
    <w:rsid w:val="009C35C1"/>
    <w:rsid w:val="009E5ACC"/>
    <w:rsid w:val="009F1D58"/>
    <w:rsid w:val="009F3BB2"/>
    <w:rsid w:val="009F473B"/>
    <w:rsid w:val="009F61C3"/>
    <w:rsid w:val="00A066BC"/>
    <w:rsid w:val="00A12664"/>
    <w:rsid w:val="00A17BDB"/>
    <w:rsid w:val="00A24A35"/>
    <w:rsid w:val="00A24C69"/>
    <w:rsid w:val="00A27867"/>
    <w:rsid w:val="00A317A8"/>
    <w:rsid w:val="00A31C12"/>
    <w:rsid w:val="00A327AC"/>
    <w:rsid w:val="00A35CCD"/>
    <w:rsid w:val="00A4678C"/>
    <w:rsid w:val="00A4728A"/>
    <w:rsid w:val="00A50693"/>
    <w:rsid w:val="00A519D9"/>
    <w:rsid w:val="00A65C45"/>
    <w:rsid w:val="00A719A0"/>
    <w:rsid w:val="00A83A3C"/>
    <w:rsid w:val="00A84D9E"/>
    <w:rsid w:val="00A9637C"/>
    <w:rsid w:val="00AA6C60"/>
    <w:rsid w:val="00AB0378"/>
    <w:rsid w:val="00AB2A57"/>
    <w:rsid w:val="00AC2504"/>
    <w:rsid w:val="00AD0424"/>
    <w:rsid w:val="00AE013C"/>
    <w:rsid w:val="00B0038C"/>
    <w:rsid w:val="00B1314F"/>
    <w:rsid w:val="00B15FEF"/>
    <w:rsid w:val="00B20BB6"/>
    <w:rsid w:val="00B26DF1"/>
    <w:rsid w:val="00B26EC3"/>
    <w:rsid w:val="00B35D04"/>
    <w:rsid w:val="00B413AC"/>
    <w:rsid w:val="00B419B0"/>
    <w:rsid w:val="00B4582C"/>
    <w:rsid w:val="00B53DE2"/>
    <w:rsid w:val="00B57321"/>
    <w:rsid w:val="00B61083"/>
    <w:rsid w:val="00B66A5E"/>
    <w:rsid w:val="00B715D5"/>
    <w:rsid w:val="00B7282E"/>
    <w:rsid w:val="00B81D39"/>
    <w:rsid w:val="00B83400"/>
    <w:rsid w:val="00B94F65"/>
    <w:rsid w:val="00BB29FF"/>
    <w:rsid w:val="00BC1E9D"/>
    <w:rsid w:val="00BC34E0"/>
    <w:rsid w:val="00BD21F9"/>
    <w:rsid w:val="00BD38A9"/>
    <w:rsid w:val="00BF0352"/>
    <w:rsid w:val="00BF0856"/>
    <w:rsid w:val="00BF5DF7"/>
    <w:rsid w:val="00C0358B"/>
    <w:rsid w:val="00C25CDE"/>
    <w:rsid w:val="00C26876"/>
    <w:rsid w:val="00C31476"/>
    <w:rsid w:val="00C370CA"/>
    <w:rsid w:val="00C4558C"/>
    <w:rsid w:val="00C46394"/>
    <w:rsid w:val="00C521C1"/>
    <w:rsid w:val="00C55D1D"/>
    <w:rsid w:val="00C72B63"/>
    <w:rsid w:val="00C82980"/>
    <w:rsid w:val="00C96AE7"/>
    <w:rsid w:val="00CA4BEB"/>
    <w:rsid w:val="00CB351C"/>
    <w:rsid w:val="00CD125F"/>
    <w:rsid w:val="00CD1BBE"/>
    <w:rsid w:val="00CD25B1"/>
    <w:rsid w:val="00CF0734"/>
    <w:rsid w:val="00CF2423"/>
    <w:rsid w:val="00CF7BF1"/>
    <w:rsid w:val="00D058FF"/>
    <w:rsid w:val="00D101F5"/>
    <w:rsid w:val="00D145A6"/>
    <w:rsid w:val="00D14BF7"/>
    <w:rsid w:val="00D24DC3"/>
    <w:rsid w:val="00D26A39"/>
    <w:rsid w:val="00D3062A"/>
    <w:rsid w:val="00D3332B"/>
    <w:rsid w:val="00D34ECC"/>
    <w:rsid w:val="00D406D5"/>
    <w:rsid w:val="00D43910"/>
    <w:rsid w:val="00D506F7"/>
    <w:rsid w:val="00D50AA8"/>
    <w:rsid w:val="00D533F3"/>
    <w:rsid w:val="00D5481E"/>
    <w:rsid w:val="00D55534"/>
    <w:rsid w:val="00D76C77"/>
    <w:rsid w:val="00D80D3C"/>
    <w:rsid w:val="00D85F63"/>
    <w:rsid w:val="00D908D7"/>
    <w:rsid w:val="00DB2E01"/>
    <w:rsid w:val="00DB6503"/>
    <w:rsid w:val="00DC4FC2"/>
    <w:rsid w:val="00DD0E3A"/>
    <w:rsid w:val="00DD1D81"/>
    <w:rsid w:val="00DD3DAA"/>
    <w:rsid w:val="00DD4513"/>
    <w:rsid w:val="00DD6870"/>
    <w:rsid w:val="00DE5C49"/>
    <w:rsid w:val="00DF2025"/>
    <w:rsid w:val="00DF76D7"/>
    <w:rsid w:val="00E005ED"/>
    <w:rsid w:val="00E11F0A"/>
    <w:rsid w:val="00E14143"/>
    <w:rsid w:val="00E17BBA"/>
    <w:rsid w:val="00E20E8F"/>
    <w:rsid w:val="00E22EEA"/>
    <w:rsid w:val="00E46930"/>
    <w:rsid w:val="00E52696"/>
    <w:rsid w:val="00E55A8F"/>
    <w:rsid w:val="00E60417"/>
    <w:rsid w:val="00E6486A"/>
    <w:rsid w:val="00E7157E"/>
    <w:rsid w:val="00E72E09"/>
    <w:rsid w:val="00E73057"/>
    <w:rsid w:val="00E82A7E"/>
    <w:rsid w:val="00E841EA"/>
    <w:rsid w:val="00E87CCB"/>
    <w:rsid w:val="00E932FF"/>
    <w:rsid w:val="00E97BB7"/>
    <w:rsid w:val="00EA36B4"/>
    <w:rsid w:val="00EA4D62"/>
    <w:rsid w:val="00EB10CE"/>
    <w:rsid w:val="00EB3D7D"/>
    <w:rsid w:val="00EB68A7"/>
    <w:rsid w:val="00EB6D96"/>
    <w:rsid w:val="00EC2B3A"/>
    <w:rsid w:val="00ED4FA6"/>
    <w:rsid w:val="00ED7341"/>
    <w:rsid w:val="00ED797A"/>
    <w:rsid w:val="00EE5503"/>
    <w:rsid w:val="00EF66D9"/>
    <w:rsid w:val="00F01804"/>
    <w:rsid w:val="00F07AD2"/>
    <w:rsid w:val="00F12137"/>
    <w:rsid w:val="00F125FE"/>
    <w:rsid w:val="00F137D8"/>
    <w:rsid w:val="00F13ABE"/>
    <w:rsid w:val="00F17477"/>
    <w:rsid w:val="00F25483"/>
    <w:rsid w:val="00F26447"/>
    <w:rsid w:val="00F420A5"/>
    <w:rsid w:val="00F512E5"/>
    <w:rsid w:val="00F53E3F"/>
    <w:rsid w:val="00F563CF"/>
    <w:rsid w:val="00F635DC"/>
    <w:rsid w:val="00F811E6"/>
    <w:rsid w:val="00F816C4"/>
    <w:rsid w:val="00F82B8F"/>
    <w:rsid w:val="00F842AE"/>
    <w:rsid w:val="00F8603E"/>
    <w:rsid w:val="00F938DB"/>
    <w:rsid w:val="00F95837"/>
    <w:rsid w:val="00F96B30"/>
    <w:rsid w:val="00F96C21"/>
    <w:rsid w:val="00FA411C"/>
    <w:rsid w:val="00FA4257"/>
    <w:rsid w:val="00FA53B3"/>
    <w:rsid w:val="00FA543A"/>
    <w:rsid w:val="00FB631E"/>
    <w:rsid w:val="00FC3724"/>
    <w:rsid w:val="00FC50F1"/>
    <w:rsid w:val="00FC6F10"/>
    <w:rsid w:val="00FC70F2"/>
    <w:rsid w:val="00FD1E37"/>
    <w:rsid w:val="00FD5260"/>
    <w:rsid w:val="00FE220B"/>
    <w:rsid w:val="00FE7F3E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8FF0A"/>
  <w15:chartTrackingRefBased/>
  <w15:docId w15:val="{365681EF-1BEB-4E2F-B65E-6B7A7649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3F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8606E"/>
    <w:pPr>
      <w:spacing w:after="120" w:line="480" w:lineRule="auto"/>
      <w:ind w:left="283"/>
    </w:pPr>
    <w:rPr>
      <w:szCs w:val="20"/>
      <w:lang w:val="en-AU" w:eastAsia="en-US"/>
    </w:rPr>
  </w:style>
  <w:style w:type="paragraph" w:styleId="a3">
    <w:name w:val="footer"/>
    <w:basedOn w:val="a"/>
    <w:link w:val="a4"/>
    <w:uiPriority w:val="99"/>
    <w:rsid w:val="00D533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33F3"/>
  </w:style>
  <w:style w:type="paragraph" w:styleId="a6">
    <w:name w:val="Balloon Text"/>
    <w:basedOn w:val="a"/>
    <w:semiHidden/>
    <w:rsid w:val="00D53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82DA5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link w:val="a7"/>
    <w:rsid w:val="00582DA5"/>
    <w:rPr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82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078DB"/>
    <w:pPr>
      <w:ind w:left="720"/>
    </w:pPr>
  </w:style>
  <w:style w:type="paragraph" w:customStyle="1" w:styleId="PhotoCaptionTitle">
    <w:name w:val="Photo Caption Title"/>
    <w:basedOn w:val="a"/>
    <w:rsid w:val="001A1687"/>
    <w:pPr>
      <w:spacing w:after="240"/>
    </w:pPr>
    <w:rPr>
      <w:rFonts w:ascii="Gill Sans" w:hAnsi="Gill Sans"/>
      <w:b/>
      <w:caps/>
      <w:sz w:val="20"/>
      <w:lang w:val="en-US" w:eastAsia="en-US"/>
    </w:rPr>
  </w:style>
  <w:style w:type="paragraph" w:customStyle="1" w:styleId="Disclaimer">
    <w:name w:val="Disclaimer"/>
    <w:basedOn w:val="a"/>
    <w:link w:val="DisclaimerChar"/>
    <w:rsid w:val="001A1687"/>
    <w:rPr>
      <w:rFonts w:ascii="Gill Sans" w:hAnsi="Gill Sans"/>
      <w:sz w:val="18"/>
      <w:lang w:val="en-US" w:eastAsia="en-US"/>
    </w:rPr>
  </w:style>
  <w:style w:type="paragraph" w:customStyle="1" w:styleId="TitleSecondLine">
    <w:name w:val="Title Second Line"/>
    <w:basedOn w:val="TitleSecondLineCover"/>
    <w:rsid w:val="001A1687"/>
    <w:rPr>
      <w:bCs w:val="0"/>
      <w:color w:val="auto"/>
    </w:rPr>
  </w:style>
  <w:style w:type="paragraph" w:customStyle="1" w:styleId="TitleSecondLineCover">
    <w:name w:val="Title Second Line Cover"/>
    <w:basedOn w:val="a"/>
    <w:rsid w:val="001A1687"/>
    <w:pPr>
      <w:keepNext/>
      <w:keepLines/>
      <w:suppressAutoHyphens/>
    </w:pPr>
    <w:rPr>
      <w:rFonts w:ascii="Gill Sans" w:hAnsi="Gill Sans" w:cs="Arial"/>
      <w:bCs/>
      <w:caps/>
      <w:color w:val="FFFFFF"/>
      <w:kern w:val="32"/>
      <w:sz w:val="36"/>
      <w:szCs w:val="72"/>
      <w:lang w:val="en-US" w:eastAsia="en-US"/>
    </w:rPr>
  </w:style>
  <w:style w:type="character" w:customStyle="1" w:styleId="a4">
    <w:name w:val="Нижній колонтитул Знак"/>
    <w:link w:val="a3"/>
    <w:uiPriority w:val="99"/>
    <w:rsid w:val="001A1687"/>
    <w:rPr>
      <w:sz w:val="24"/>
      <w:szCs w:val="24"/>
      <w:lang w:val="ru-RU" w:eastAsia="ru-RU"/>
    </w:rPr>
  </w:style>
  <w:style w:type="paragraph" w:customStyle="1" w:styleId="CM12">
    <w:name w:val="CM12"/>
    <w:basedOn w:val="a"/>
    <w:next w:val="a"/>
    <w:semiHidden/>
    <w:rsid w:val="001A1687"/>
    <w:pPr>
      <w:widowControl w:val="0"/>
      <w:autoSpaceDE w:val="0"/>
      <w:autoSpaceDN w:val="0"/>
      <w:adjustRightInd w:val="0"/>
      <w:spacing w:after="1600"/>
    </w:pPr>
    <w:rPr>
      <w:rFonts w:ascii="Arial" w:hAnsi="Arial" w:cs="Arial"/>
      <w:lang w:val="en-US" w:eastAsia="en-US"/>
    </w:rPr>
  </w:style>
  <w:style w:type="paragraph" w:customStyle="1" w:styleId="CoverPageText">
    <w:name w:val="Cover Page Text"/>
    <w:basedOn w:val="a"/>
    <w:rsid w:val="001A1687"/>
    <w:pPr>
      <w:spacing w:after="160"/>
    </w:pPr>
    <w:rPr>
      <w:rFonts w:ascii="Gill Sans" w:hAnsi="Gill Sans"/>
      <w:sz w:val="23"/>
      <w:lang w:val="en-US" w:eastAsia="en-US"/>
    </w:rPr>
  </w:style>
  <w:style w:type="character" w:customStyle="1" w:styleId="DisclaimerChar">
    <w:name w:val="Disclaimer Char"/>
    <w:link w:val="Disclaimer"/>
    <w:rsid w:val="001A1687"/>
    <w:rPr>
      <w:rFonts w:ascii="Gill Sans" w:hAnsi="Gill Sans"/>
      <w:sz w:val="18"/>
      <w:szCs w:val="24"/>
    </w:rPr>
  </w:style>
  <w:style w:type="character" w:customStyle="1" w:styleId="st">
    <w:name w:val="st"/>
    <w:rsid w:val="00DD4513"/>
  </w:style>
  <w:style w:type="character" w:styleId="ab">
    <w:name w:val="Emphasis"/>
    <w:uiPriority w:val="20"/>
    <w:qFormat/>
    <w:rsid w:val="00DD4513"/>
    <w:rPr>
      <w:i/>
      <w:iCs/>
    </w:rPr>
  </w:style>
  <w:style w:type="character" w:styleId="ac">
    <w:name w:val="Hyperlink"/>
    <w:rsid w:val="00983516"/>
    <w:rPr>
      <w:color w:val="0563C1"/>
      <w:u w:val="single"/>
    </w:rPr>
  </w:style>
  <w:style w:type="character" w:styleId="ad">
    <w:name w:val="Strong"/>
    <w:uiPriority w:val="22"/>
    <w:qFormat/>
    <w:rsid w:val="005273D9"/>
    <w:rPr>
      <w:b/>
      <w:bCs/>
    </w:rPr>
  </w:style>
  <w:style w:type="character" w:customStyle="1" w:styleId="lrzxr">
    <w:name w:val="lrzxr"/>
    <w:rsid w:val="008324D8"/>
  </w:style>
  <w:style w:type="paragraph" w:customStyle="1" w:styleId="SEMempty">
    <w:name w:val="SEM_empty"/>
    <w:basedOn w:val="a"/>
    <w:qFormat/>
    <w:rsid w:val="00F95837"/>
    <w:rPr>
      <w:sz w:val="28"/>
      <w:lang w:val="uk-UA" w:eastAsia="uk-UA"/>
    </w:rPr>
  </w:style>
  <w:style w:type="character" w:styleId="ae">
    <w:name w:val="Unresolved Mention"/>
    <w:basedOn w:val="a0"/>
    <w:uiPriority w:val="99"/>
    <w:semiHidden/>
    <w:unhideWhenUsed/>
    <w:rsid w:val="005719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A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0741-82E0-491B-B8C6-40EEA342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APPLICATION FORM</vt:lpstr>
      <vt:lpstr>APPLICATION FORM</vt:lpstr>
      <vt:lpstr>APPLICATION FORM</vt:lpstr>
    </vt:vector>
  </TitlesOfParts>
  <Company>Home</Company>
  <LinksUpToDate>false</LinksUpToDate>
  <CharactersWithSpaces>2894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mailto:oberezina@merp.org.ua</vt:lpwstr>
      </vt:variant>
      <vt:variant>
        <vt:lpwstr/>
      </vt:variant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mailto:info@merp.org.ua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Dmytro.Shatilo@tetratech.com</dc:creator>
  <cp:keywords/>
  <cp:lastModifiedBy>Kharchenko Oleksii</cp:lastModifiedBy>
  <cp:revision>3</cp:revision>
  <cp:lastPrinted>2021-02-11T13:20:00Z</cp:lastPrinted>
  <dcterms:created xsi:type="dcterms:W3CDTF">2021-03-01T17:39:00Z</dcterms:created>
  <dcterms:modified xsi:type="dcterms:W3CDTF">2021-03-15T11:36:00Z</dcterms:modified>
</cp:coreProperties>
</file>